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3C50" w14:textId="77777777" w:rsidR="00CB3E7D" w:rsidRDefault="00741B64" w:rsidP="0057309B">
      <w:pPr>
        <w:pStyle w:val="Heading1"/>
        <w:jc w:val="center"/>
        <w:rPr>
          <w:lang w:val="es-ES" w:eastAsia="en-GB"/>
        </w:rPr>
      </w:pPr>
      <w:bookmarkStart w:id="0" w:name="_Toc109287553"/>
      <w:bookmarkStart w:id="1" w:name="_GoBack"/>
      <w:bookmarkEnd w:id="1"/>
      <w:r>
        <w:rPr>
          <w:noProof/>
          <w:lang w:val="en-US" w:eastAsia="en-US"/>
        </w:rPr>
        <w:drawing>
          <wp:anchor distT="0" distB="0" distL="114300" distR="114300" simplePos="0" relativeHeight="251658240" behindDoc="0" locked="0" layoutInCell="1" allowOverlap="1" wp14:anchorId="61859ED7" wp14:editId="5E2B7ADD">
            <wp:simplePos x="0" y="0"/>
            <wp:positionH relativeFrom="margin">
              <wp:align>center</wp:align>
            </wp:positionH>
            <wp:positionV relativeFrom="paragraph">
              <wp:posOffset>0</wp:posOffset>
            </wp:positionV>
            <wp:extent cx="939165" cy="90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165" cy="902335"/>
                    </a:xfrm>
                    <a:prstGeom prst="rect">
                      <a:avLst/>
                    </a:prstGeom>
                    <a:noFill/>
                  </pic:spPr>
                </pic:pic>
              </a:graphicData>
            </a:graphic>
          </wp:anchor>
        </w:drawing>
      </w:r>
      <w:bookmarkEnd w:id="0"/>
    </w:p>
    <w:p w14:paraId="161696D7" w14:textId="77777777" w:rsidR="00CB3E7D" w:rsidRPr="00C02493" w:rsidRDefault="00CB3E7D" w:rsidP="0057309B">
      <w:pPr>
        <w:ind w:right="576"/>
        <w:jc w:val="center"/>
        <w:rPr>
          <w:b/>
          <w:bCs/>
          <w:sz w:val="24"/>
          <w:lang w:val="es-ES" w:eastAsia="en-GB"/>
        </w:rPr>
      </w:pPr>
    </w:p>
    <w:p w14:paraId="7BA57E68" w14:textId="77777777" w:rsidR="00741B64" w:rsidRDefault="00741B64" w:rsidP="0057309B">
      <w:pPr>
        <w:ind w:left="142"/>
        <w:jc w:val="center"/>
        <w:rPr>
          <w:rFonts w:ascii="Times New Roman" w:hAnsi="Times New Roman"/>
          <w:b/>
          <w:bCs/>
          <w:sz w:val="28"/>
          <w:lang w:val="es-ES" w:eastAsia="en-GB"/>
        </w:rPr>
      </w:pPr>
    </w:p>
    <w:p w14:paraId="16EF66DA" w14:textId="77777777" w:rsidR="00741B64" w:rsidRDefault="00741B64" w:rsidP="0057309B">
      <w:pPr>
        <w:ind w:left="142"/>
        <w:jc w:val="center"/>
        <w:rPr>
          <w:rFonts w:ascii="Times New Roman" w:hAnsi="Times New Roman"/>
          <w:b/>
          <w:bCs/>
          <w:sz w:val="28"/>
          <w:lang w:val="es-ES" w:eastAsia="en-GB"/>
        </w:rPr>
      </w:pPr>
    </w:p>
    <w:p w14:paraId="79497177" w14:textId="77777777" w:rsidR="00741B64" w:rsidRPr="00623921" w:rsidRDefault="00741B64" w:rsidP="0057309B">
      <w:pPr>
        <w:ind w:left="142"/>
        <w:jc w:val="center"/>
        <w:rPr>
          <w:rFonts w:ascii="Arial" w:hAnsi="Arial" w:cs="Arial"/>
          <w:b/>
          <w:bCs/>
          <w:color w:val="002060"/>
          <w:sz w:val="28"/>
          <w:szCs w:val="22"/>
          <w:lang w:val="es-ES" w:eastAsia="en-GB"/>
        </w:rPr>
      </w:pPr>
      <w:r w:rsidRPr="00623921">
        <w:rPr>
          <w:rFonts w:ascii="Arial" w:hAnsi="Arial" w:cs="Arial"/>
          <w:b/>
          <w:bCs/>
          <w:color w:val="002060"/>
          <w:sz w:val="28"/>
          <w:szCs w:val="22"/>
          <w:lang w:val="es-ES" w:eastAsia="en-GB"/>
        </w:rPr>
        <w:t>Federación Red NicaSalud</w:t>
      </w:r>
    </w:p>
    <w:p w14:paraId="1192CBE2" w14:textId="77777777" w:rsidR="00EA12EF" w:rsidRPr="00FC0297" w:rsidRDefault="00EA12EF" w:rsidP="00623921">
      <w:pPr>
        <w:pStyle w:val="Header"/>
        <w:jc w:val="center"/>
        <w:rPr>
          <w:rFonts w:ascii="Arial" w:hAnsi="Arial" w:cs="Arial"/>
          <w:color w:val="002060"/>
          <w:sz w:val="20"/>
          <w:lang w:val="es-419"/>
        </w:rPr>
      </w:pPr>
      <w:r w:rsidRPr="00BC4EDF">
        <w:rPr>
          <w:rFonts w:ascii="Arial" w:hAnsi="Arial" w:cs="Arial"/>
          <w:color w:val="002060"/>
          <w:sz w:val="20"/>
          <w:lang w:val="es-419"/>
        </w:rPr>
        <w:t>Número Perpetuo: 2134 / NURAE: J-22-01-2021-0002 / RUC: J0810000033156</w:t>
      </w:r>
    </w:p>
    <w:p w14:paraId="47A45513" w14:textId="77777777" w:rsidR="00EA12EF" w:rsidRPr="00D16DDF" w:rsidRDefault="00EA12EF" w:rsidP="0057309B">
      <w:pPr>
        <w:ind w:left="142"/>
        <w:jc w:val="center"/>
        <w:rPr>
          <w:b/>
          <w:bCs/>
          <w:szCs w:val="22"/>
          <w:lang w:val="es-ES" w:eastAsia="en-GB"/>
        </w:rPr>
      </w:pPr>
    </w:p>
    <w:p w14:paraId="066087AF" w14:textId="77777777" w:rsidR="00741B64" w:rsidRPr="00D16DDF" w:rsidRDefault="00741B64" w:rsidP="0057309B">
      <w:pPr>
        <w:ind w:left="142"/>
        <w:jc w:val="center"/>
        <w:rPr>
          <w:b/>
          <w:bCs/>
          <w:szCs w:val="22"/>
          <w:lang w:val="es-ES" w:eastAsia="en-GB"/>
        </w:rPr>
      </w:pPr>
    </w:p>
    <w:p w14:paraId="4041E684" w14:textId="77777777" w:rsidR="00741B64" w:rsidRPr="00D16DDF" w:rsidRDefault="00741B64" w:rsidP="0057309B">
      <w:pPr>
        <w:ind w:left="142"/>
        <w:jc w:val="center"/>
        <w:rPr>
          <w:b/>
          <w:bCs/>
          <w:szCs w:val="22"/>
          <w:lang w:val="es-ES" w:eastAsia="en-GB"/>
        </w:rPr>
      </w:pPr>
    </w:p>
    <w:p w14:paraId="3B353AA8" w14:textId="77777777" w:rsidR="00F45538" w:rsidRPr="009E7948" w:rsidRDefault="002B48B8" w:rsidP="009E7948">
      <w:pPr>
        <w:pStyle w:val="CoverPageTitle"/>
        <w:rPr>
          <w:rFonts w:ascii="Georgia" w:hAnsi="Georgia"/>
          <w:b/>
          <w:color w:val="auto"/>
          <w:sz w:val="48"/>
          <w:szCs w:val="60"/>
          <w:lang w:val="es-ES_tradnl"/>
        </w:rPr>
      </w:pPr>
      <w:r w:rsidRPr="009E7948">
        <w:rPr>
          <w:rFonts w:ascii="Georgia" w:hAnsi="Georgia"/>
          <w:b/>
          <w:color w:val="auto"/>
          <w:sz w:val="40"/>
          <w:szCs w:val="60"/>
          <w:lang w:val="es-ES_tradnl"/>
        </w:rPr>
        <w:t>Términos de Referencia para la auditoría de los estados financieros de propósito especial de la subvención</w:t>
      </w:r>
      <w:r w:rsidR="00F45538" w:rsidRPr="009E7948">
        <w:rPr>
          <w:rFonts w:ascii="Georgia" w:hAnsi="Georgia"/>
          <w:b/>
          <w:color w:val="auto"/>
          <w:sz w:val="48"/>
          <w:szCs w:val="60"/>
          <w:lang w:val="es-ES_tradnl"/>
        </w:rPr>
        <w:t>.</w:t>
      </w:r>
    </w:p>
    <w:p w14:paraId="04181DAB" w14:textId="77777777" w:rsidR="00910B0C" w:rsidRPr="009E7948" w:rsidRDefault="00910B0C" w:rsidP="0057309B">
      <w:pPr>
        <w:ind w:left="142"/>
        <w:jc w:val="center"/>
        <w:rPr>
          <w:b/>
          <w:bCs/>
          <w:sz w:val="28"/>
          <w:szCs w:val="22"/>
          <w:lang w:val="es-ES" w:eastAsia="en-GB"/>
        </w:rPr>
      </w:pPr>
      <w:r w:rsidRPr="009E7948">
        <w:rPr>
          <w:b/>
          <w:bCs/>
          <w:sz w:val="28"/>
          <w:szCs w:val="22"/>
          <w:lang w:val="es-ES" w:eastAsia="en-GB"/>
        </w:rPr>
        <w:t>Fondo Mundial (FM)</w:t>
      </w:r>
    </w:p>
    <w:p w14:paraId="2C36EC69" w14:textId="77777777" w:rsidR="0095138B" w:rsidRPr="009E7948" w:rsidRDefault="0095138B" w:rsidP="0057309B">
      <w:pPr>
        <w:widowControl w:val="0"/>
        <w:tabs>
          <w:tab w:val="center" w:pos="4680"/>
        </w:tabs>
        <w:ind w:left="142"/>
        <w:jc w:val="center"/>
        <w:rPr>
          <w:b/>
          <w:snapToGrid w:val="0"/>
          <w:sz w:val="28"/>
          <w:szCs w:val="22"/>
          <w:lang w:val="es-ES_tradnl" w:eastAsia="es-ES"/>
        </w:rPr>
      </w:pPr>
    </w:p>
    <w:p w14:paraId="52182FF7" w14:textId="77777777" w:rsidR="0095138B" w:rsidRPr="009E7948" w:rsidRDefault="0095138B" w:rsidP="0057309B">
      <w:pPr>
        <w:ind w:left="142"/>
        <w:jc w:val="center"/>
        <w:rPr>
          <w:b/>
          <w:bCs/>
          <w:sz w:val="28"/>
          <w:szCs w:val="22"/>
          <w:lang w:val="es-ES" w:eastAsia="en-GB"/>
        </w:rPr>
      </w:pPr>
      <w:r w:rsidRPr="009E7948">
        <w:rPr>
          <w:b/>
          <w:bCs/>
          <w:sz w:val="28"/>
          <w:szCs w:val="22"/>
          <w:lang w:val="es-ES" w:eastAsia="en-GB"/>
        </w:rPr>
        <w:t xml:space="preserve">Receptor Principal (RP): </w:t>
      </w:r>
      <w:r w:rsidR="00910B0C" w:rsidRPr="009E7948">
        <w:rPr>
          <w:b/>
          <w:bCs/>
          <w:sz w:val="28"/>
          <w:szCs w:val="22"/>
          <w:lang w:val="es-ES" w:eastAsia="en-GB"/>
        </w:rPr>
        <w:t>Federación Red NicaSalud</w:t>
      </w:r>
    </w:p>
    <w:p w14:paraId="04F4FCF0" w14:textId="77777777" w:rsidR="00910B0C" w:rsidRPr="009E7948" w:rsidRDefault="00910B0C" w:rsidP="0057309B">
      <w:pPr>
        <w:ind w:left="142"/>
        <w:jc w:val="center"/>
        <w:rPr>
          <w:b/>
          <w:bCs/>
          <w:sz w:val="24"/>
          <w:szCs w:val="22"/>
          <w:lang w:val="es-ES" w:eastAsia="en-GB"/>
        </w:rPr>
      </w:pPr>
    </w:p>
    <w:p w14:paraId="45982D5F" w14:textId="77777777" w:rsidR="000608EF" w:rsidRPr="009E7948" w:rsidRDefault="000608EF" w:rsidP="0057309B">
      <w:pPr>
        <w:ind w:left="142"/>
        <w:jc w:val="center"/>
        <w:rPr>
          <w:b/>
          <w:bCs/>
          <w:sz w:val="24"/>
          <w:szCs w:val="22"/>
          <w:lang w:val="es-ES" w:eastAsia="en-GB"/>
        </w:rPr>
      </w:pPr>
    </w:p>
    <w:p w14:paraId="7A117976" w14:textId="77777777" w:rsidR="000608EF" w:rsidRPr="009E7948" w:rsidRDefault="0095138B" w:rsidP="0057309B">
      <w:pPr>
        <w:ind w:left="142"/>
        <w:jc w:val="center"/>
        <w:rPr>
          <w:b/>
          <w:bCs/>
          <w:sz w:val="24"/>
          <w:szCs w:val="22"/>
          <w:lang w:val="es-ES" w:eastAsia="en-GB"/>
        </w:rPr>
      </w:pPr>
      <w:r w:rsidRPr="009E7948">
        <w:rPr>
          <w:b/>
          <w:bCs/>
          <w:sz w:val="24"/>
          <w:szCs w:val="22"/>
          <w:lang w:val="es-ES" w:eastAsia="en-GB"/>
        </w:rPr>
        <w:t>Título del programa:</w:t>
      </w:r>
    </w:p>
    <w:p w14:paraId="0B6DAFE9" w14:textId="77777777" w:rsidR="0095138B" w:rsidRPr="001E2EEB" w:rsidRDefault="001E2EEB" w:rsidP="0057309B">
      <w:pPr>
        <w:ind w:left="142"/>
        <w:jc w:val="center"/>
        <w:rPr>
          <w:b/>
          <w:bCs/>
          <w:sz w:val="28"/>
          <w:szCs w:val="22"/>
          <w:lang w:val="es-ES" w:eastAsia="en-GB"/>
        </w:rPr>
      </w:pPr>
      <w:r w:rsidRPr="001E2EEB">
        <w:rPr>
          <w:rFonts w:ascii="Arial" w:hAnsi="Arial" w:cs="Arial"/>
          <w:b/>
          <w:bCs/>
          <w:sz w:val="24"/>
          <w:lang w:val="es-ES"/>
        </w:rPr>
        <w:t>“</w:t>
      </w:r>
      <w:r w:rsidRPr="001E2EEB">
        <w:rPr>
          <w:rFonts w:ascii="Arial" w:hAnsi="Arial" w:cs="Arial"/>
          <w:b/>
          <w:bCs/>
          <w:i/>
          <w:sz w:val="24"/>
          <w:lang w:val="es-ES"/>
        </w:rPr>
        <w:t>Nicaragua, sosteniendo los logros y consolidando acciones enfocadas a la pre-eliminación de la malaria</w:t>
      </w:r>
      <w:r w:rsidRPr="001E2EEB">
        <w:rPr>
          <w:rFonts w:ascii="Arial" w:hAnsi="Arial" w:cs="Arial"/>
          <w:b/>
          <w:bCs/>
          <w:sz w:val="24"/>
          <w:lang w:val="es-ES"/>
        </w:rPr>
        <w:t>” – Malaria NC 2022-2024,</w:t>
      </w:r>
      <w:r w:rsidRPr="001E2EEB">
        <w:rPr>
          <w:b/>
          <w:bCs/>
          <w:sz w:val="28"/>
          <w:szCs w:val="22"/>
          <w:lang w:val="es-ES" w:eastAsia="en-GB"/>
        </w:rPr>
        <w:t xml:space="preserve"> </w:t>
      </w:r>
    </w:p>
    <w:p w14:paraId="0A0243DB" w14:textId="77777777" w:rsidR="00910B0C" w:rsidRPr="009E7948" w:rsidRDefault="00910B0C" w:rsidP="0057309B">
      <w:pPr>
        <w:ind w:left="142"/>
        <w:jc w:val="center"/>
        <w:rPr>
          <w:b/>
          <w:bCs/>
          <w:sz w:val="24"/>
          <w:szCs w:val="22"/>
          <w:lang w:val="es-ES" w:eastAsia="en-GB"/>
        </w:rPr>
      </w:pPr>
    </w:p>
    <w:p w14:paraId="13F1E39B" w14:textId="77777777" w:rsidR="00741B64" w:rsidRPr="009E7948" w:rsidRDefault="00741B64" w:rsidP="0057309B">
      <w:pPr>
        <w:ind w:left="142"/>
        <w:jc w:val="center"/>
        <w:rPr>
          <w:b/>
          <w:bCs/>
          <w:sz w:val="24"/>
          <w:szCs w:val="22"/>
          <w:lang w:val="es-ES" w:eastAsia="en-GB"/>
        </w:rPr>
      </w:pPr>
    </w:p>
    <w:p w14:paraId="41B569E1" w14:textId="77777777" w:rsidR="000608EF" w:rsidRPr="009E7948" w:rsidRDefault="000608EF" w:rsidP="0057309B">
      <w:pPr>
        <w:ind w:left="142"/>
        <w:jc w:val="center"/>
        <w:rPr>
          <w:b/>
          <w:bCs/>
          <w:sz w:val="24"/>
          <w:szCs w:val="22"/>
          <w:lang w:val="es-ES" w:eastAsia="en-GB"/>
        </w:rPr>
      </w:pPr>
      <w:r w:rsidRPr="009E7948">
        <w:rPr>
          <w:b/>
          <w:bCs/>
          <w:sz w:val="24"/>
          <w:szCs w:val="22"/>
          <w:lang w:val="es-ES" w:eastAsia="en-GB"/>
        </w:rPr>
        <w:t xml:space="preserve">Nombre y Número de subvención: NIC-M-RED NICA - </w:t>
      </w:r>
      <w:r w:rsidR="001E2EEB">
        <w:rPr>
          <w:b/>
          <w:bCs/>
          <w:sz w:val="24"/>
          <w:szCs w:val="22"/>
          <w:lang w:val="es-ES" w:eastAsia="en-GB"/>
        </w:rPr>
        <w:t>2749</w:t>
      </w:r>
    </w:p>
    <w:p w14:paraId="67ABBBE5" w14:textId="77777777" w:rsidR="00F26562" w:rsidRPr="009E7948" w:rsidRDefault="00F26562" w:rsidP="0057309B">
      <w:pPr>
        <w:ind w:left="142"/>
        <w:jc w:val="center"/>
        <w:rPr>
          <w:b/>
          <w:bCs/>
          <w:sz w:val="24"/>
          <w:szCs w:val="22"/>
          <w:lang w:val="es-ES" w:eastAsia="en-GB"/>
        </w:rPr>
      </w:pPr>
    </w:p>
    <w:p w14:paraId="42543441" w14:textId="77777777" w:rsidR="00E15F3E" w:rsidRPr="009E7948" w:rsidRDefault="00E15F3E" w:rsidP="0057309B">
      <w:pPr>
        <w:ind w:left="142"/>
        <w:jc w:val="center"/>
        <w:rPr>
          <w:b/>
          <w:bCs/>
          <w:sz w:val="24"/>
          <w:szCs w:val="22"/>
          <w:lang w:val="es-ES" w:eastAsia="en-GB"/>
        </w:rPr>
      </w:pPr>
    </w:p>
    <w:p w14:paraId="33658951" w14:textId="77777777" w:rsidR="0095138B" w:rsidRPr="009E7948" w:rsidRDefault="00E15F3E" w:rsidP="0057309B">
      <w:pPr>
        <w:widowControl w:val="0"/>
        <w:ind w:left="142"/>
        <w:jc w:val="center"/>
        <w:rPr>
          <w:b/>
          <w:bCs/>
          <w:sz w:val="24"/>
          <w:szCs w:val="22"/>
          <w:lang w:val="es-ES" w:eastAsia="en-GB"/>
        </w:rPr>
      </w:pPr>
      <w:r w:rsidRPr="009E7948">
        <w:rPr>
          <w:b/>
          <w:bCs/>
          <w:sz w:val="24"/>
          <w:szCs w:val="22"/>
          <w:lang w:val="es-ES" w:eastAsia="en-GB"/>
        </w:rPr>
        <w:t>Perí</w:t>
      </w:r>
      <w:r w:rsidR="0095138B" w:rsidRPr="009E7948">
        <w:rPr>
          <w:b/>
          <w:bCs/>
          <w:sz w:val="24"/>
          <w:szCs w:val="22"/>
          <w:lang w:val="es-ES" w:eastAsia="en-GB"/>
        </w:rPr>
        <w:t xml:space="preserve">odo cubierto por la auditoría: </w:t>
      </w:r>
      <w:r w:rsidR="00CC355B" w:rsidRPr="009E7948">
        <w:rPr>
          <w:b/>
          <w:bCs/>
          <w:sz w:val="24"/>
          <w:szCs w:val="22"/>
          <w:lang w:val="es-ES" w:eastAsia="en-GB"/>
        </w:rPr>
        <w:t>01 enero</w:t>
      </w:r>
      <w:r w:rsidR="00DF75B6" w:rsidRPr="009E7948">
        <w:rPr>
          <w:b/>
          <w:bCs/>
          <w:sz w:val="24"/>
          <w:szCs w:val="22"/>
          <w:lang w:val="es-ES" w:eastAsia="en-GB"/>
        </w:rPr>
        <w:t xml:space="preserve"> </w:t>
      </w:r>
      <w:r w:rsidR="00F428FD" w:rsidRPr="009E7948">
        <w:rPr>
          <w:b/>
          <w:bCs/>
          <w:sz w:val="24"/>
          <w:szCs w:val="22"/>
          <w:lang w:val="es-ES" w:eastAsia="en-GB"/>
        </w:rPr>
        <w:t>202</w:t>
      </w:r>
      <w:r w:rsidR="005B74F2">
        <w:rPr>
          <w:b/>
          <w:bCs/>
          <w:sz w:val="24"/>
          <w:szCs w:val="22"/>
          <w:lang w:val="es-ES" w:eastAsia="en-GB"/>
        </w:rPr>
        <w:t>2</w:t>
      </w:r>
      <w:r w:rsidR="000D37FD" w:rsidRPr="009E7948">
        <w:rPr>
          <w:b/>
          <w:bCs/>
          <w:sz w:val="24"/>
          <w:szCs w:val="22"/>
          <w:lang w:val="es-ES" w:eastAsia="en-GB"/>
        </w:rPr>
        <w:t xml:space="preserve"> al</w:t>
      </w:r>
      <w:r w:rsidR="00CC355B" w:rsidRPr="009E7948">
        <w:rPr>
          <w:b/>
          <w:bCs/>
          <w:sz w:val="24"/>
          <w:szCs w:val="22"/>
          <w:lang w:val="es-ES" w:eastAsia="en-GB"/>
        </w:rPr>
        <w:t xml:space="preserve"> 31 diciembre 20</w:t>
      </w:r>
      <w:r w:rsidR="008D5DF5" w:rsidRPr="009E7948">
        <w:rPr>
          <w:b/>
          <w:bCs/>
          <w:sz w:val="24"/>
          <w:szCs w:val="22"/>
          <w:lang w:val="es-ES" w:eastAsia="en-GB"/>
        </w:rPr>
        <w:t>2</w:t>
      </w:r>
      <w:r w:rsidR="005B74F2">
        <w:rPr>
          <w:b/>
          <w:bCs/>
          <w:sz w:val="24"/>
          <w:szCs w:val="22"/>
          <w:lang w:val="es-ES" w:eastAsia="en-GB"/>
        </w:rPr>
        <w:t>4</w:t>
      </w:r>
    </w:p>
    <w:p w14:paraId="5951AAE3" w14:textId="77777777" w:rsidR="0095138B" w:rsidRPr="009E7948" w:rsidRDefault="0095138B" w:rsidP="0057309B">
      <w:pPr>
        <w:widowControl w:val="0"/>
        <w:tabs>
          <w:tab w:val="center" w:pos="4680"/>
        </w:tabs>
        <w:ind w:left="142"/>
        <w:jc w:val="center"/>
        <w:rPr>
          <w:b/>
          <w:bCs/>
          <w:sz w:val="24"/>
          <w:szCs w:val="22"/>
          <w:lang w:val="es-ES" w:eastAsia="en-GB"/>
        </w:rPr>
      </w:pPr>
    </w:p>
    <w:p w14:paraId="2D15A4BA" w14:textId="77777777" w:rsidR="0095138B" w:rsidRPr="00D16DDF" w:rsidRDefault="0095138B" w:rsidP="0057309B">
      <w:pPr>
        <w:widowControl w:val="0"/>
        <w:tabs>
          <w:tab w:val="center" w:pos="4680"/>
        </w:tabs>
        <w:jc w:val="center"/>
        <w:rPr>
          <w:b/>
          <w:bCs/>
          <w:szCs w:val="22"/>
          <w:lang w:val="es-ES" w:eastAsia="en-GB"/>
        </w:rPr>
      </w:pPr>
    </w:p>
    <w:p w14:paraId="325D3A61" w14:textId="77777777" w:rsidR="0095138B" w:rsidRPr="00D16DDF" w:rsidRDefault="0095138B" w:rsidP="0057309B">
      <w:pPr>
        <w:widowControl w:val="0"/>
        <w:jc w:val="center"/>
        <w:rPr>
          <w:snapToGrid w:val="0"/>
          <w:szCs w:val="22"/>
          <w:lang w:val="es-ES" w:eastAsia="es-ES"/>
        </w:rPr>
      </w:pPr>
    </w:p>
    <w:p w14:paraId="3D9567AA" w14:textId="77777777" w:rsidR="0095138B" w:rsidRPr="00D16DDF" w:rsidRDefault="0095138B" w:rsidP="0057309B">
      <w:pPr>
        <w:widowControl w:val="0"/>
        <w:jc w:val="center"/>
        <w:rPr>
          <w:snapToGrid w:val="0"/>
          <w:szCs w:val="22"/>
          <w:lang w:val="es-ES" w:eastAsia="es-ES"/>
        </w:rPr>
      </w:pPr>
    </w:p>
    <w:p w14:paraId="27B6C917" w14:textId="77777777" w:rsidR="0095138B" w:rsidRPr="00D16DDF" w:rsidRDefault="0095138B" w:rsidP="0057309B">
      <w:pPr>
        <w:widowControl w:val="0"/>
        <w:jc w:val="center"/>
        <w:rPr>
          <w:snapToGrid w:val="0"/>
          <w:szCs w:val="22"/>
          <w:lang w:val="es-ES" w:eastAsia="es-ES"/>
        </w:rPr>
      </w:pPr>
    </w:p>
    <w:p w14:paraId="2A4D3326" w14:textId="77777777" w:rsidR="0095138B" w:rsidRPr="00D16DDF" w:rsidRDefault="0095138B" w:rsidP="0057309B">
      <w:pPr>
        <w:widowControl w:val="0"/>
        <w:jc w:val="center"/>
        <w:rPr>
          <w:snapToGrid w:val="0"/>
          <w:szCs w:val="22"/>
          <w:lang w:val="es-ES" w:eastAsia="es-ES"/>
        </w:rPr>
      </w:pPr>
    </w:p>
    <w:p w14:paraId="6EB010B1" w14:textId="77777777" w:rsidR="0095138B" w:rsidRPr="00D16DDF" w:rsidRDefault="0095138B" w:rsidP="0057309B">
      <w:pPr>
        <w:widowControl w:val="0"/>
        <w:jc w:val="center"/>
        <w:rPr>
          <w:snapToGrid w:val="0"/>
          <w:szCs w:val="22"/>
          <w:lang w:val="es-ES" w:eastAsia="es-ES"/>
        </w:rPr>
      </w:pPr>
    </w:p>
    <w:p w14:paraId="737D58F9" w14:textId="77777777" w:rsidR="0095138B" w:rsidRPr="00D16DDF" w:rsidRDefault="0095138B" w:rsidP="0057309B">
      <w:pPr>
        <w:widowControl w:val="0"/>
        <w:tabs>
          <w:tab w:val="center" w:pos="4680"/>
        </w:tabs>
        <w:jc w:val="center"/>
        <w:rPr>
          <w:b/>
          <w:snapToGrid w:val="0"/>
          <w:szCs w:val="22"/>
          <w:lang w:val="es-ES" w:eastAsia="es-ES"/>
        </w:rPr>
      </w:pPr>
    </w:p>
    <w:p w14:paraId="2ACB4045" w14:textId="77777777" w:rsidR="00E15F3E" w:rsidRPr="00D16DDF" w:rsidRDefault="00E15F3E" w:rsidP="0057309B">
      <w:pPr>
        <w:widowControl w:val="0"/>
        <w:tabs>
          <w:tab w:val="center" w:pos="4680"/>
        </w:tabs>
        <w:jc w:val="center"/>
        <w:rPr>
          <w:snapToGrid w:val="0"/>
          <w:szCs w:val="22"/>
          <w:lang w:val="es-ES_tradnl" w:eastAsia="es-ES"/>
        </w:rPr>
      </w:pPr>
    </w:p>
    <w:p w14:paraId="526D5BA0" w14:textId="77777777" w:rsidR="0095138B" w:rsidRDefault="0095138B" w:rsidP="0095138B">
      <w:pPr>
        <w:widowControl w:val="0"/>
        <w:tabs>
          <w:tab w:val="center" w:pos="4680"/>
        </w:tabs>
        <w:jc w:val="both"/>
        <w:rPr>
          <w:snapToGrid w:val="0"/>
          <w:szCs w:val="22"/>
          <w:lang w:val="es-ES_tradnl" w:eastAsia="es-ES"/>
        </w:rPr>
      </w:pPr>
    </w:p>
    <w:p w14:paraId="4860EAAE" w14:textId="77777777" w:rsidR="00802E40" w:rsidRPr="00D16DDF" w:rsidRDefault="00802E40" w:rsidP="0095138B">
      <w:pPr>
        <w:widowControl w:val="0"/>
        <w:tabs>
          <w:tab w:val="center" w:pos="4680"/>
        </w:tabs>
        <w:jc w:val="both"/>
        <w:rPr>
          <w:snapToGrid w:val="0"/>
          <w:szCs w:val="22"/>
          <w:lang w:val="es-ES_tradnl" w:eastAsia="es-ES"/>
        </w:rPr>
      </w:pPr>
    </w:p>
    <w:p w14:paraId="49180215" w14:textId="77777777" w:rsidR="0095138B" w:rsidRPr="00D16DDF" w:rsidRDefault="0095138B" w:rsidP="0095138B">
      <w:pPr>
        <w:widowControl w:val="0"/>
        <w:tabs>
          <w:tab w:val="center" w:pos="4680"/>
        </w:tabs>
        <w:jc w:val="both"/>
        <w:rPr>
          <w:snapToGrid w:val="0"/>
          <w:szCs w:val="22"/>
          <w:lang w:val="es-ES_tradnl" w:eastAsia="es-ES"/>
        </w:rPr>
      </w:pPr>
    </w:p>
    <w:p w14:paraId="3914B68C" w14:textId="77777777" w:rsidR="0095138B" w:rsidRPr="00D16DDF" w:rsidRDefault="0095138B" w:rsidP="0095138B">
      <w:pPr>
        <w:widowControl w:val="0"/>
        <w:jc w:val="center"/>
        <w:rPr>
          <w:snapToGrid w:val="0"/>
          <w:szCs w:val="22"/>
          <w:lang w:val="es-ES" w:eastAsia="es-ES"/>
        </w:rPr>
      </w:pPr>
      <w:r w:rsidRPr="00D16DDF">
        <w:rPr>
          <w:snapToGrid w:val="0"/>
          <w:szCs w:val="22"/>
          <w:lang w:val="es-ES" w:eastAsia="es-ES"/>
        </w:rPr>
        <w:t>Persona Contacto para la Auditoría</w:t>
      </w:r>
    </w:p>
    <w:p w14:paraId="6AABE74F" w14:textId="77777777" w:rsidR="0095138B" w:rsidRPr="00D16DDF" w:rsidRDefault="0095138B" w:rsidP="0095138B">
      <w:pPr>
        <w:widowControl w:val="0"/>
        <w:tabs>
          <w:tab w:val="center" w:pos="4680"/>
        </w:tabs>
        <w:jc w:val="center"/>
        <w:rPr>
          <w:snapToGrid w:val="0"/>
          <w:szCs w:val="22"/>
          <w:lang w:val="es-ES" w:eastAsia="es-ES"/>
        </w:rPr>
      </w:pPr>
    </w:p>
    <w:p w14:paraId="5FD5A25B" w14:textId="77777777" w:rsidR="0095138B" w:rsidRPr="00D16DDF" w:rsidRDefault="008D5DF5" w:rsidP="0095138B">
      <w:pPr>
        <w:widowControl w:val="0"/>
        <w:tabs>
          <w:tab w:val="center" w:pos="4680"/>
        </w:tabs>
        <w:jc w:val="center"/>
        <w:rPr>
          <w:b/>
          <w:snapToGrid w:val="0"/>
          <w:szCs w:val="22"/>
          <w:lang w:val="es-ES_tradnl" w:eastAsia="es-ES"/>
        </w:rPr>
      </w:pPr>
      <w:r w:rsidRPr="00D16DDF">
        <w:rPr>
          <w:b/>
          <w:snapToGrid w:val="0"/>
          <w:szCs w:val="22"/>
          <w:lang w:val="es-ES_tradnl" w:eastAsia="es-ES"/>
        </w:rPr>
        <w:t>Lic.</w:t>
      </w:r>
      <w:r w:rsidR="00CC355B" w:rsidRPr="00D16DDF">
        <w:rPr>
          <w:b/>
          <w:snapToGrid w:val="0"/>
          <w:szCs w:val="22"/>
          <w:lang w:val="es-ES_tradnl" w:eastAsia="es-ES"/>
        </w:rPr>
        <w:t xml:space="preserve"> </w:t>
      </w:r>
      <w:r w:rsidRPr="00D16DDF">
        <w:rPr>
          <w:b/>
          <w:snapToGrid w:val="0"/>
          <w:szCs w:val="22"/>
          <w:lang w:val="es-ES_tradnl" w:eastAsia="es-ES"/>
        </w:rPr>
        <w:t>Ciro M. Ruiz Galeano</w:t>
      </w:r>
    </w:p>
    <w:p w14:paraId="21C2630A" w14:textId="77777777" w:rsidR="0095138B" w:rsidRPr="00D16DDF" w:rsidRDefault="008D5DF5" w:rsidP="0095138B">
      <w:pPr>
        <w:widowControl w:val="0"/>
        <w:tabs>
          <w:tab w:val="center" w:pos="4680"/>
        </w:tabs>
        <w:jc w:val="center"/>
        <w:rPr>
          <w:snapToGrid w:val="0"/>
          <w:szCs w:val="22"/>
          <w:lang w:val="es-ES_tradnl" w:eastAsia="es-ES"/>
        </w:rPr>
      </w:pPr>
      <w:r w:rsidRPr="00D16DDF">
        <w:rPr>
          <w:snapToGrid w:val="0"/>
          <w:szCs w:val="22"/>
          <w:lang w:val="es-ES_tradnl" w:eastAsia="es-ES"/>
        </w:rPr>
        <w:t>Coordinador Financiero</w:t>
      </w:r>
    </w:p>
    <w:p w14:paraId="395E3247" w14:textId="77777777" w:rsidR="00066C58" w:rsidRPr="008137D1" w:rsidRDefault="00066C58" w:rsidP="00066C58">
      <w:pPr>
        <w:widowControl w:val="0"/>
        <w:pBdr>
          <w:top w:val="single" w:sz="4" w:space="1" w:color="auto"/>
        </w:pBdr>
        <w:tabs>
          <w:tab w:val="center" w:pos="4680"/>
        </w:tabs>
        <w:jc w:val="center"/>
        <w:rPr>
          <w:smallCaps/>
          <w:snapToGrid w:val="0"/>
          <w:szCs w:val="22"/>
          <w:lang w:val="es-NI" w:eastAsia="es-ES"/>
        </w:rPr>
      </w:pPr>
      <w:r w:rsidRPr="008137D1">
        <w:rPr>
          <w:smallCaps/>
          <w:snapToGrid w:val="0"/>
          <w:szCs w:val="22"/>
          <w:lang w:val="es-ES_tradnl" w:eastAsia="es-ES"/>
        </w:rPr>
        <w:t>Dirección</w:t>
      </w:r>
      <w:r w:rsidRPr="008137D1">
        <w:rPr>
          <w:smallCaps/>
          <w:snapToGrid w:val="0"/>
          <w:szCs w:val="22"/>
          <w:lang w:val="es-NI" w:eastAsia="es-ES"/>
        </w:rPr>
        <w:t>: Reparto Villa fontana Norte, de la Rotonda Omar Torrijos, 1c al Sur, ½ c al Oeste.  Casa No. 47, managua</w:t>
      </w:r>
    </w:p>
    <w:p w14:paraId="6DBB97BF" w14:textId="77777777" w:rsidR="00F74E58" w:rsidRPr="00D16DDF" w:rsidRDefault="00066C58" w:rsidP="00DE34BE">
      <w:pPr>
        <w:widowControl w:val="0"/>
        <w:pBdr>
          <w:top w:val="single" w:sz="4" w:space="1" w:color="auto"/>
        </w:pBdr>
        <w:tabs>
          <w:tab w:val="center" w:pos="4680"/>
        </w:tabs>
        <w:jc w:val="center"/>
        <w:rPr>
          <w:smallCaps/>
          <w:snapToGrid w:val="0"/>
          <w:szCs w:val="22"/>
          <w:lang w:val="pt-BR" w:eastAsia="es-ES"/>
        </w:rPr>
        <w:sectPr w:rsidR="00F74E58" w:rsidRPr="00D16DDF" w:rsidSect="00F74E58">
          <w:footerReference w:type="default" r:id="rId14"/>
          <w:pgSz w:w="11906" w:h="16838"/>
          <w:pgMar w:top="1440" w:right="1080" w:bottom="1440" w:left="1080" w:header="708" w:footer="708" w:gutter="0"/>
          <w:pgNumType w:fmt="lowerRoman"/>
          <w:cols w:space="708"/>
          <w:docGrid w:linePitch="360"/>
        </w:sectPr>
      </w:pPr>
      <w:r w:rsidRPr="008137D1">
        <w:rPr>
          <w:smallCaps/>
          <w:snapToGrid w:val="0"/>
          <w:szCs w:val="22"/>
          <w:lang w:val="es-NI" w:eastAsia="es-ES"/>
        </w:rPr>
        <w:t>teléfonos</w:t>
      </w:r>
      <w:r w:rsidRPr="008137D1">
        <w:rPr>
          <w:smallCaps/>
          <w:snapToGrid w:val="0"/>
          <w:szCs w:val="22"/>
          <w:lang w:val="pt-BR" w:eastAsia="es-ES"/>
        </w:rPr>
        <w:t>: 2270-0099, 22708535.</w:t>
      </w:r>
      <w:r w:rsidRPr="00D16DDF">
        <w:rPr>
          <w:smallCaps/>
          <w:snapToGrid w:val="0"/>
          <w:szCs w:val="22"/>
          <w:lang w:val="pt-BR" w:eastAsia="es-ES"/>
        </w:rPr>
        <w:t xml:space="preserve"> </w:t>
      </w:r>
      <w:bookmarkStart w:id="2" w:name="_Hlk9512102"/>
    </w:p>
    <w:bookmarkEnd w:id="2" w:displacedByCustomXml="next"/>
    <w:sdt>
      <w:sdtPr>
        <w:rPr>
          <w:rFonts w:ascii="Georgia" w:eastAsia="Times New Roman" w:hAnsi="Georgia" w:cs="Times New Roman"/>
          <w:color w:val="auto"/>
          <w:sz w:val="22"/>
          <w:szCs w:val="24"/>
          <w:lang w:val="en-GB" w:eastAsia="zh-CN"/>
        </w:rPr>
        <w:id w:val="613566319"/>
        <w:docPartObj>
          <w:docPartGallery w:val="Table of Contents"/>
          <w:docPartUnique/>
        </w:docPartObj>
      </w:sdtPr>
      <w:sdtEndPr>
        <w:rPr>
          <w:b/>
          <w:bCs/>
          <w:noProof/>
        </w:rPr>
      </w:sdtEndPr>
      <w:sdtContent>
        <w:p w14:paraId="50B95EF1" w14:textId="77777777" w:rsidR="00762014" w:rsidRDefault="00762014" w:rsidP="00D60675">
          <w:pPr>
            <w:pStyle w:val="TOCHeading"/>
            <w:spacing w:before="120"/>
            <w:rPr>
              <w:b/>
            </w:rPr>
          </w:pPr>
          <w:r w:rsidRPr="00915460">
            <w:rPr>
              <w:b/>
            </w:rPr>
            <w:t>Indice</w:t>
          </w:r>
        </w:p>
        <w:p w14:paraId="727C1465" w14:textId="77777777" w:rsidR="00BC6CEC" w:rsidRDefault="00762014">
          <w:pPr>
            <w:pStyle w:val="TOC1"/>
            <w:tabs>
              <w:tab w:val="right" w:leader="dot" w:pos="9622"/>
            </w:tabs>
            <w:rPr>
              <w:rFonts w:asciiTheme="minorHAnsi" w:eastAsiaTheme="minorEastAsia" w:hAnsiTheme="minorHAnsi" w:cstheme="minorBidi"/>
              <w:noProof/>
              <w:szCs w:val="22"/>
              <w:lang w:val="es-NI" w:eastAsia="es-NI"/>
            </w:rPr>
          </w:pPr>
          <w:r w:rsidRPr="00915460">
            <w:rPr>
              <w:b/>
            </w:rPr>
            <w:fldChar w:fldCharType="begin"/>
          </w:r>
          <w:r w:rsidRPr="00915460">
            <w:rPr>
              <w:b/>
            </w:rPr>
            <w:instrText xml:space="preserve"> TOC \o "1-3" \h \z \u </w:instrText>
          </w:r>
          <w:r w:rsidRPr="00915460">
            <w:rPr>
              <w:b/>
            </w:rPr>
            <w:fldChar w:fldCharType="separate"/>
          </w:r>
          <w:hyperlink w:anchor="_Toc109287553" w:history="1">
            <w:r w:rsidR="00BC6CEC">
              <w:rPr>
                <w:noProof/>
                <w:webHidden/>
              </w:rPr>
              <w:fldChar w:fldCharType="begin"/>
            </w:r>
            <w:r w:rsidR="00BC6CEC">
              <w:rPr>
                <w:noProof/>
                <w:webHidden/>
              </w:rPr>
              <w:instrText xml:space="preserve"> PAGEREF _Toc109287553 \h </w:instrText>
            </w:r>
            <w:r w:rsidR="00BC6CEC">
              <w:rPr>
                <w:noProof/>
                <w:webHidden/>
              </w:rPr>
            </w:r>
            <w:r w:rsidR="00BC6CEC">
              <w:rPr>
                <w:noProof/>
                <w:webHidden/>
              </w:rPr>
              <w:fldChar w:fldCharType="separate"/>
            </w:r>
            <w:r w:rsidR="00BC6CEC">
              <w:rPr>
                <w:noProof/>
                <w:webHidden/>
              </w:rPr>
              <w:t>i</w:t>
            </w:r>
            <w:r w:rsidR="00BC6CEC">
              <w:rPr>
                <w:noProof/>
                <w:webHidden/>
              </w:rPr>
              <w:fldChar w:fldCharType="end"/>
            </w:r>
          </w:hyperlink>
        </w:p>
        <w:p w14:paraId="1D276686"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54" w:history="1">
            <w:r w:rsidR="00BC6CEC" w:rsidRPr="00626649">
              <w:rPr>
                <w:rStyle w:val="Hyperlink"/>
                <w:noProof/>
                <w:snapToGrid w:val="0"/>
                <w:lang w:val="es-ES_tradnl" w:eastAsia="es-ES"/>
              </w:rPr>
              <w:t>1.</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Antecedentes del programa, estructura de la auditoría y descripción de las entidades.</w:t>
            </w:r>
            <w:r w:rsidR="00BC6CEC">
              <w:rPr>
                <w:noProof/>
                <w:webHidden/>
              </w:rPr>
              <w:tab/>
            </w:r>
            <w:r w:rsidR="00BC6CEC">
              <w:rPr>
                <w:noProof/>
                <w:webHidden/>
              </w:rPr>
              <w:fldChar w:fldCharType="begin"/>
            </w:r>
            <w:r w:rsidR="00BC6CEC">
              <w:rPr>
                <w:noProof/>
                <w:webHidden/>
              </w:rPr>
              <w:instrText xml:space="preserve"> PAGEREF _Toc109287554 \h </w:instrText>
            </w:r>
            <w:r w:rsidR="00BC6CEC">
              <w:rPr>
                <w:noProof/>
                <w:webHidden/>
              </w:rPr>
            </w:r>
            <w:r w:rsidR="00BC6CEC">
              <w:rPr>
                <w:noProof/>
                <w:webHidden/>
              </w:rPr>
              <w:fldChar w:fldCharType="separate"/>
            </w:r>
            <w:r w:rsidR="00BC6CEC">
              <w:rPr>
                <w:noProof/>
                <w:webHidden/>
              </w:rPr>
              <w:t>1</w:t>
            </w:r>
            <w:r w:rsidR="00BC6CEC">
              <w:rPr>
                <w:noProof/>
                <w:webHidden/>
              </w:rPr>
              <w:fldChar w:fldCharType="end"/>
            </w:r>
          </w:hyperlink>
        </w:p>
        <w:p w14:paraId="0B94D1AA" w14:textId="77777777" w:rsidR="00BC6CEC" w:rsidRDefault="004E53D6">
          <w:pPr>
            <w:pStyle w:val="TOC2"/>
            <w:tabs>
              <w:tab w:val="left" w:pos="880"/>
              <w:tab w:val="right" w:leader="dot" w:pos="9622"/>
            </w:tabs>
            <w:rPr>
              <w:rFonts w:asciiTheme="minorHAnsi" w:eastAsiaTheme="minorEastAsia" w:hAnsiTheme="minorHAnsi" w:cstheme="minorBidi"/>
              <w:noProof/>
              <w:szCs w:val="22"/>
              <w:lang w:val="es-NI" w:eastAsia="es-NI"/>
            </w:rPr>
          </w:pPr>
          <w:hyperlink w:anchor="_Toc109287555" w:history="1">
            <w:r w:rsidR="00BC6CEC" w:rsidRPr="00626649">
              <w:rPr>
                <w:rStyle w:val="Hyperlink"/>
                <w:b/>
                <w:noProof/>
                <w:snapToGrid w:val="0"/>
                <w:lang w:val="es-ES_tradnl" w:eastAsia="es-ES"/>
              </w:rPr>
              <w:t>1.1</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Antecedentes del Programa</w:t>
            </w:r>
            <w:r w:rsidR="00BC6CEC">
              <w:rPr>
                <w:noProof/>
                <w:webHidden/>
              </w:rPr>
              <w:tab/>
            </w:r>
            <w:r w:rsidR="00BC6CEC">
              <w:rPr>
                <w:noProof/>
                <w:webHidden/>
              </w:rPr>
              <w:fldChar w:fldCharType="begin"/>
            </w:r>
            <w:r w:rsidR="00BC6CEC">
              <w:rPr>
                <w:noProof/>
                <w:webHidden/>
              </w:rPr>
              <w:instrText xml:space="preserve"> PAGEREF _Toc109287555 \h </w:instrText>
            </w:r>
            <w:r w:rsidR="00BC6CEC">
              <w:rPr>
                <w:noProof/>
                <w:webHidden/>
              </w:rPr>
            </w:r>
            <w:r w:rsidR="00BC6CEC">
              <w:rPr>
                <w:noProof/>
                <w:webHidden/>
              </w:rPr>
              <w:fldChar w:fldCharType="separate"/>
            </w:r>
            <w:r w:rsidR="00BC6CEC">
              <w:rPr>
                <w:noProof/>
                <w:webHidden/>
              </w:rPr>
              <w:t>1</w:t>
            </w:r>
            <w:r w:rsidR="00BC6CEC">
              <w:rPr>
                <w:noProof/>
                <w:webHidden/>
              </w:rPr>
              <w:fldChar w:fldCharType="end"/>
            </w:r>
          </w:hyperlink>
        </w:p>
        <w:p w14:paraId="673C15F6" w14:textId="77777777" w:rsidR="00BC6CEC" w:rsidRDefault="004E53D6">
          <w:pPr>
            <w:pStyle w:val="TOC2"/>
            <w:tabs>
              <w:tab w:val="left" w:pos="880"/>
              <w:tab w:val="right" w:leader="dot" w:pos="9622"/>
            </w:tabs>
            <w:rPr>
              <w:rFonts w:asciiTheme="minorHAnsi" w:eastAsiaTheme="minorEastAsia" w:hAnsiTheme="minorHAnsi" w:cstheme="minorBidi"/>
              <w:noProof/>
              <w:szCs w:val="22"/>
              <w:lang w:val="es-NI" w:eastAsia="es-NI"/>
            </w:rPr>
          </w:pPr>
          <w:hyperlink w:anchor="_Toc109287556" w:history="1">
            <w:r w:rsidR="00BC6CEC" w:rsidRPr="00626649">
              <w:rPr>
                <w:rStyle w:val="Hyperlink"/>
                <w:b/>
                <w:noProof/>
                <w:snapToGrid w:val="0"/>
                <w:lang w:val="es-ES_tradnl" w:eastAsia="es-ES"/>
              </w:rPr>
              <w:t>1.2</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Entidades del programa y enfoque de la auditoría.</w:t>
            </w:r>
            <w:r w:rsidR="00BC6CEC">
              <w:rPr>
                <w:noProof/>
                <w:webHidden/>
              </w:rPr>
              <w:tab/>
            </w:r>
            <w:r w:rsidR="00BC6CEC">
              <w:rPr>
                <w:noProof/>
                <w:webHidden/>
              </w:rPr>
              <w:fldChar w:fldCharType="begin"/>
            </w:r>
            <w:r w:rsidR="00BC6CEC">
              <w:rPr>
                <w:noProof/>
                <w:webHidden/>
              </w:rPr>
              <w:instrText xml:space="preserve"> PAGEREF _Toc109287556 \h </w:instrText>
            </w:r>
            <w:r w:rsidR="00BC6CEC">
              <w:rPr>
                <w:noProof/>
                <w:webHidden/>
              </w:rPr>
            </w:r>
            <w:r w:rsidR="00BC6CEC">
              <w:rPr>
                <w:noProof/>
                <w:webHidden/>
              </w:rPr>
              <w:fldChar w:fldCharType="separate"/>
            </w:r>
            <w:r w:rsidR="00BC6CEC">
              <w:rPr>
                <w:noProof/>
                <w:webHidden/>
              </w:rPr>
              <w:t>3</w:t>
            </w:r>
            <w:r w:rsidR="00BC6CEC">
              <w:rPr>
                <w:noProof/>
                <w:webHidden/>
              </w:rPr>
              <w:fldChar w:fldCharType="end"/>
            </w:r>
          </w:hyperlink>
        </w:p>
        <w:p w14:paraId="072368D8"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57" w:history="1">
            <w:r w:rsidR="00BC6CEC" w:rsidRPr="00626649">
              <w:rPr>
                <w:rStyle w:val="Hyperlink"/>
                <w:noProof/>
                <w:snapToGrid w:val="0"/>
                <w:lang w:val="es-ES_tradnl" w:eastAsia="es-ES"/>
              </w:rPr>
              <w:t>2.</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Contactos</w:t>
            </w:r>
            <w:r w:rsidR="00BC6CEC">
              <w:rPr>
                <w:noProof/>
                <w:webHidden/>
              </w:rPr>
              <w:tab/>
            </w:r>
            <w:r w:rsidR="00BC6CEC">
              <w:rPr>
                <w:noProof/>
                <w:webHidden/>
              </w:rPr>
              <w:fldChar w:fldCharType="begin"/>
            </w:r>
            <w:r w:rsidR="00BC6CEC">
              <w:rPr>
                <w:noProof/>
                <w:webHidden/>
              </w:rPr>
              <w:instrText xml:space="preserve"> PAGEREF _Toc109287557 \h </w:instrText>
            </w:r>
            <w:r w:rsidR="00BC6CEC">
              <w:rPr>
                <w:noProof/>
                <w:webHidden/>
              </w:rPr>
            </w:r>
            <w:r w:rsidR="00BC6CEC">
              <w:rPr>
                <w:noProof/>
                <w:webHidden/>
              </w:rPr>
              <w:fldChar w:fldCharType="separate"/>
            </w:r>
            <w:r w:rsidR="00BC6CEC">
              <w:rPr>
                <w:noProof/>
                <w:webHidden/>
              </w:rPr>
              <w:t>6</w:t>
            </w:r>
            <w:r w:rsidR="00BC6CEC">
              <w:rPr>
                <w:noProof/>
                <w:webHidden/>
              </w:rPr>
              <w:fldChar w:fldCharType="end"/>
            </w:r>
          </w:hyperlink>
        </w:p>
        <w:p w14:paraId="7479DE36"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58" w:history="1">
            <w:r w:rsidR="00BC6CEC" w:rsidRPr="00626649">
              <w:rPr>
                <w:rStyle w:val="Hyperlink"/>
                <w:noProof/>
                <w:snapToGrid w:val="0"/>
                <w:lang w:val="es-ES_tradnl" w:eastAsia="es-ES"/>
              </w:rPr>
              <w:t>3.</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Objetivos de la auditoría</w:t>
            </w:r>
            <w:r w:rsidR="00BC6CEC">
              <w:rPr>
                <w:noProof/>
                <w:webHidden/>
              </w:rPr>
              <w:tab/>
            </w:r>
            <w:r w:rsidR="00BC6CEC">
              <w:rPr>
                <w:noProof/>
                <w:webHidden/>
              </w:rPr>
              <w:fldChar w:fldCharType="begin"/>
            </w:r>
            <w:r w:rsidR="00BC6CEC">
              <w:rPr>
                <w:noProof/>
                <w:webHidden/>
              </w:rPr>
              <w:instrText xml:space="preserve"> PAGEREF _Toc109287558 \h </w:instrText>
            </w:r>
            <w:r w:rsidR="00BC6CEC">
              <w:rPr>
                <w:noProof/>
                <w:webHidden/>
              </w:rPr>
            </w:r>
            <w:r w:rsidR="00BC6CEC">
              <w:rPr>
                <w:noProof/>
                <w:webHidden/>
              </w:rPr>
              <w:fldChar w:fldCharType="separate"/>
            </w:r>
            <w:r w:rsidR="00BC6CEC">
              <w:rPr>
                <w:noProof/>
                <w:webHidden/>
              </w:rPr>
              <w:t>6</w:t>
            </w:r>
            <w:r w:rsidR="00BC6CEC">
              <w:rPr>
                <w:noProof/>
                <w:webHidden/>
              </w:rPr>
              <w:fldChar w:fldCharType="end"/>
            </w:r>
          </w:hyperlink>
        </w:p>
        <w:p w14:paraId="024EC338"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59" w:history="1">
            <w:r w:rsidR="00BC6CEC" w:rsidRPr="00626649">
              <w:rPr>
                <w:rStyle w:val="Hyperlink"/>
                <w:noProof/>
                <w:snapToGrid w:val="0"/>
                <w:lang w:val="es-ES_tradnl" w:eastAsia="es-ES"/>
              </w:rPr>
              <w:t>4.</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Responsabilidad de preparación de Estados Financieros de propósito especial de la subvención (SPGFS).</w:t>
            </w:r>
            <w:r w:rsidR="00BC6CEC">
              <w:rPr>
                <w:noProof/>
                <w:webHidden/>
              </w:rPr>
              <w:tab/>
            </w:r>
            <w:r w:rsidR="00BC6CEC">
              <w:rPr>
                <w:noProof/>
                <w:webHidden/>
              </w:rPr>
              <w:fldChar w:fldCharType="begin"/>
            </w:r>
            <w:r w:rsidR="00BC6CEC">
              <w:rPr>
                <w:noProof/>
                <w:webHidden/>
              </w:rPr>
              <w:instrText xml:space="preserve"> PAGEREF _Toc109287559 \h </w:instrText>
            </w:r>
            <w:r w:rsidR="00BC6CEC">
              <w:rPr>
                <w:noProof/>
                <w:webHidden/>
              </w:rPr>
            </w:r>
            <w:r w:rsidR="00BC6CEC">
              <w:rPr>
                <w:noProof/>
                <w:webHidden/>
              </w:rPr>
              <w:fldChar w:fldCharType="separate"/>
            </w:r>
            <w:r w:rsidR="00BC6CEC">
              <w:rPr>
                <w:noProof/>
                <w:webHidden/>
              </w:rPr>
              <w:t>6</w:t>
            </w:r>
            <w:r w:rsidR="00BC6CEC">
              <w:rPr>
                <w:noProof/>
                <w:webHidden/>
              </w:rPr>
              <w:fldChar w:fldCharType="end"/>
            </w:r>
          </w:hyperlink>
        </w:p>
        <w:p w14:paraId="22A3E9BA"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60" w:history="1">
            <w:r w:rsidR="00BC6CEC" w:rsidRPr="00626649">
              <w:rPr>
                <w:rStyle w:val="Hyperlink"/>
                <w:noProof/>
                <w:snapToGrid w:val="0"/>
                <w:lang w:val="es-ES_tradnl" w:eastAsia="es-ES"/>
              </w:rPr>
              <w:t>5.</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Estados financieros de propósito especial de la subvención (SPGFS).</w:t>
            </w:r>
            <w:r w:rsidR="00BC6CEC">
              <w:rPr>
                <w:noProof/>
                <w:webHidden/>
              </w:rPr>
              <w:tab/>
            </w:r>
            <w:r w:rsidR="00BC6CEC">
              <w:rPr>
                <w:noProof/>
                <w:webHidden/>
              </w:rPr>
              <w:fldChar w:fldCharType="begin"/>
            </w:r>
            <w:r w:rsidR="00BC6CEC">
              <w:rPr>
                <w:noProof/>
                <w:webHidden/>
              </w:rPr>
              <w:instrText xml:space="preserve"> PAGEREF _Toc109287560 \h </w:instrText>
            </w:r>
            <w:r w:rsidR="00BC6CEC">
              <w:rPr>
                <w:noProof/>
                <w:webHidden/>
              </w:rPr>
            </w:r>
            <w:r w:rsidR="00BC6CEC">
              <w:rPr>
                <w:noProof/>
                <w:webHidden/>
              </w:rPr>
              <w:fldChar w:fldCharType="separate"/>
            </w:r>
            <w:r w:rsidR="00BC6CEC">
              <w:rPr>
                <w:noProof/>
                <w:webHidden/>
              </w:rPr>
              <w:t>6</w:t>
            </w:r>
            <w:r w:rsidR="00BC6CEC">
              <w:rPr>
                <w:noProof/>
                <w:webHidden/>
              </w:rPr>
              <w:fldChar w:fldCharType="end"/>
            </w:r>
          </w:hyperlink>
        </w:p>
        <w:p w14:paraId="054A48C3"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61" w:history="1">
            <w:r w:rsidR="00BC6CEC" w:rsidRPr="00626649">
              <w:rPr>
                <w:rStyle w:val="Hyperlink"/>
                <w:noProof/>
                <w:snapToGrid w:val="0"/>
                <w:lang w:val="es-ES_tradnl" w:eastAsia="es-ES"/>
              </w:rPr>
              <w:t>6.</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Documentos e instalaciones disponibles</w:t>
            </w:r>
            <w:r w:rsidR="00BC6CEC">
              <w:rPr>
                <w:noProof/>
                <w:webHidden/>
              </w:rPr>
              <w:tab/>
            </w:r>
            <w:r w:rsidR="00BC6CEC">
              <w:rPr>
                <w:noProof/>
                <w:webHidden/>
              </w:rPr>
              <w:fldChar w:fldCharType="begin"/>
            </w:r>
            <w:r w:rsidR="00BC6CEC">
              <w:rPr>
                <w:noProof/>
                <w:webHidden/>
              </w:rPr>
              <w:instrText xml:space="preserve"> PAGEREF _Toc109287561 \h </w:instrText>
            </w:r>
            <w:r w:rsidR="00BC6CEC">
              <w:rPr>
                <w:noProof/>
                <w:webHidden/>
              </w:rPr>
            </w:r>
            <w:r w:rsidR="00BC6CEC">
              <w:rPr>
                <w:noProof/>
                <w:webHidden/>
              </w:rPr>
              <w:fldChar w:fldCharType="separate"/>
            </w:r>
            <w:r w:rsidR="00BC6CEC">
              <w:rPr>
                <w:noProof/>
                <w:webHidden/>
              </w:rPr>
              <w:t>7</w:t>
            </w:r>
            <w:r w:rsidR="00BC6CEC">
              <w:rPr>
                <w:noProof/>
                <w:webHidden/>
              </w:rPr>
              <w:fldChar w:fldCharType="end"/>
            </w:r>
          </w:hyperlink>
        </w:p>
        <w:p w14:paraId="0DD61033"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62" w:history="1">
            <w:r w:rsidR="00BC6CEC" w:rsidRPr="00626649">
              <w:rPr>
                <w:rStyle w:val="Hyperlink"/>
                <w:noProof/>
                <w:snapToGrid w:val="0"/>
                <w:lang w:val="es-ES_tradnl" w:eastAsia="es-ES"/>
              </w:rPr>
              <w:t>7.</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Alcance del trabajo de auditoría</w:t>
            </w:r>
            <w:r w:rsidR="00BC6CEC">
              <w:rPr>
                <w:noProof/>
                <w:webHidden/>
              </w:rPr>
              <w:tab/>
            </w:r>
            <w:r w:rsidR="00BC6CEC">
              <w:rPr>
                <w:noProof/>
                <w:webHidden/>
              </w:rPr>
              <w:fldChar w:fldCharType="begin"/>
            </w:r>
            <w:r w:rsidR="00BC6CEC">
              <w:rPr>
                <w:noProof/>
                <w:webHidden/>
              </w:rPr>
              <w:instrText xml:space="preserve"> PAGEREF _Toc109287562 \h </w:instrText>
            </w:r>
            <w:r w:rsidR="00BC6CEC">
              <w:rPr>
                <w:noProof/>
                <w:webHidden/>
              </w:rPr>
            </w:r>
            <w:r w:rsidR="00BC6CEC">
              <w:rPr>
                <w:noProof/>
                <w:webHidden/>
              </w:rPr>
              <w:fldChar w:fldCharType="separate"/>
            </w:r>
            <w:r w:rsidR="00BC6CEC">
              <w:rPr>
                <w:noProof/>
                <w:webHidden/>
              </w:rPr>
              <w:t>8</w:t>
            </w:r>
            <w:r w:rsidR="00BC6CEC">
              <w:rPr>
                <w:noProof/>
                <w:webHidden/>
              </w:rPr>
              <w:fldChar w:fldCharType="end"/>
            </w:r>
          </w:hyperlink>
        </w:p>
        <w:p w14:paraId="68382035"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63" w:history="1">
            <w:r w:rsidR="00BC6CEC" w:rsidRPr="00626649">
              <w:rPr>
                <w:rStyle w:val="Hyperlink"/>
                <w:noProof/>
                <w:snapToGrid w:val="0"/>
                <w:lang w:val="es-ES_tradnl" w:eastAsia="es-ES"/>
              </w:rPr>
              <w:t>8.</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Procedimientos de auditoría</w:t>
            </w:r>
            <w:r w:rsidR="00BC6CEC">
              <w:rPr>
                <w:noProof/>
                <w:webHidden/>
              </w:rPr>
              <w:tab/>
            </w:r>
            <w:r w:rsidR="00BC6CEC">
              <w:rPr>
                <w:noProof/>
                <w:webHidden/>
              </w:rPr>
              <w:fldChar w:fldCharType="begin"/>
            </w:r>
            <w:r w:rsidR="00BC6CEC">
              <w:rPr>
                <w:noProof/>
                <w:webHidden/>
              </w:rPr>
              <w:instrText xml:space="preserve"> PAGEREF _Toc109287563 \h </w:instrText>
            </w:r>
            <w:r w:rsidR="00BC6CEC">
              <w:rPr>
                <w:noProof/>
                <w:webHidden/>
              </w:rPr>
            </w:r>
            <w:r w:rsidR="00BC6CEC">
              <w:rPr>
                <w:noProof/>
                <w:webHidden/>
              </w:rPr>
              <w:fldChar w:fldCharType="separate"/>
            </w:r>
            <w:r w:rsidR="00BC6CEC">
              <w:rPr>
                <w:noProof/>
                <w:webHidden/>
              </w:rPr>
              <w:t>10</w:t>
            </w:r>
            <w:r w:rsidR="00BC6CEC">
              <w:rPr>
                <w:noProof/>
                <w:webHidden/>
              </w:rPr>
              <w:fldChar w:fldCharType="end"/>
            </w:r>
          </w:hyperlink>
        </w:p>
        <w:p w14:paraId="4C388D7C" w14:textId="77777777" w:rsidR="00BC6CEC" w:rsidRDefault="004E53D6">
          <w:pPr>
            <w:pStyle w:val="TOC2"/>
            <w:tabs>
              <w:tab w:val="left" w:pos="880"/>
              <w:tab w:val="right" w:leader="dot" w:pos="9622"/>
            </w:tabs>
            <w:rPr>
              <w:rFonts w:asciiTheme="minorHAnsi" w:eastAsiaTheme="minorEastAsia" w:hAnsiTheme="minorHAnsi" w:cstheme="minorBidi"/>
              <w:noProof/>
              <w:szCs w:val="22"/>
              <w:lang w:val="es-NI" w:eastAsia="es-NI"/>
            </w:rPr>
          </w:pPr>
          <w:hyperlink w:anchor="_Toc109287564" w:history="1">
            <w:r w:rsidR="00BC6CEC" w:rsidRPr="00626649">
              <w:rPr>
                <w:rStyle w:val="Hyperlink"/>
                <w:b/>
                <w:noProof/>
                <w:snapToGrid w:val="0"/>
                <w:lang w:val="es-ES_tradnl" w:eastAsia="es-ES"/>
              </w:rPr>
              <w:t>8.1</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Planificación</w:t>
            </w:r>
            <w:r w:rsidR="00BC6CEC">
              <w:rPr>
                <w:noProof/>
                <w:webHidden/>
              </w:rPr>
              <w:tab/>
            </w:r>
            <w:r w:rsidR="00BC6CEC">
              <w:rPr>
                <w:noProof/>
                <w:webHidden/>
              </w:rPr>
              <w:fldChar w:fldCharType="begin"/>
            </w:r>
            <w:r w:rsidR="00BC6CEC">
              <w:rPr>
                <w:noProof/>
                <w:webHidden/>
              </w:rPr>
              <w:instrText xml:space="preserve"> PAGEREF _Toc109287564 \h </w:instrText>
            </w:r>
            <w:r w:rsidR="00BC6CEC">
              <w:rPr>
                <w:noProof/>
                <w:webHidden/>
              </w:rPr>
            </w:r>
            <w:r w:rsidR="00BC6CEC">
              <w:rPr>
                <w:noProof/>
                <w:webHidden/>
              </w:rPr>
              <w:fldChar w:fldCharType="separate"/>
            </w:r>
            <w:r w:rsidR="00BC6CEC">
              <w:rPr>
                <w:noProof/>
                <w:webHidden/>
              </w:rPr>
              <w:t>10</w:t>
            </w:r>
            <w:r w:rsidR="00BC6CEC">
              <w:rPr>
                <w:noProof/>
                <w:webHidden/>
              </w:rPr>
              <w:fldChar w:fldCharType="end"/>
            </w:r>
          </w:hyperlink>
        </w:p>
        <w:p w14:paraId="3098AE08"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65" w:history="1">
            <w:r w:rsidR="00BC6CEC" w:rsidRPr="00626649">
              <w:rPr>
                <w:rStyle w:val="Hyperlink"/>
                <w:rFonts w:eastAsia="MS Gothic"/>
                <w:b/>
                <w:i/>
                <w:iCs/>
                <w:noProof/>
                <w:lang w:val="es-NI"/>
              </w:rPr>
              <w:t>8.1.1</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Reunión inicial con el Receptor Principal</w:t>
            </w:r>
            <w:r w:rsidR="00BC6CEC">
              <w:rPr>
                <w:noProof/>
                <w:webHidden/>
              </w:rPr>
              <w:tab/>
            </w:r>
            <w:r w:rsidR="00BC6CEC">
              <w:rPr>
                <w:noProof/>
                <w:webHidden/>
              </w:rPr>
              <w:fldChar w:fldCharType="begin"/>
            </w:r>
            <w:r w:rsidR="00BC6CEC">
              <w:rPr>
                <w:noProof/>
                <w:webHidden/>
              </w:rPr>
              <w:instrText xml:space="preserve"> PAGEREF _Toc109287565 \h </w:instrText>
            </w:r>
            <w:r w:rsidR="00BC6CEC">
              <w:rPr>
                <w:noProof/>
                <w:webHidden/>
              </w:rPr>
            </w:r>
            <w:r w:rsidR="00BC6CEC">
              <w:rPr>
                <w:noProof/>
                <w:webHidden/>
              </w:rPr>
              <w:fldChar w:fldCharType="separate"/>
            </w:r>
            <w:r w:rsidR="00BC6CEC">
              <w:rPr>
                <w:noProof/>
                <w:webHidden/>
              </w:rPr>
              <w:t>10</w:t>
            </w:r>
            <w:r w:rsidR="00BC6CEC">
              <w:rPr>
                <w:noProof/>
                <w:webHidden/>
              </w:rPr>
              <w:fldChar w:fldCharType="end"/>
            </w:r>
          </w:hyperlink>
        </w:p>
        <w:p w14:paraId="6C593688"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66" w:history="1">
            <w:r w:rsidR="00BC6CEC" w:rsidRPr="00626649">
              <w:rPr>
                <w:rStyle w:val="Hyperlink"/>
                <w:rFonts w:eastAsia="MS Gothic"/>
                <w:b/>
                <w:i/>
                <w:iCs/>
                <w:noProof/>
                <w:lang w:val="es-NI"/>
              </w:rPr>
              <w:t>8.1.2</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Actividades de planificación, plan de auditoría y programas del plan de trabajo de auditoría</w:t>
            </w:r>
            <w:r w:rsidR="00BC6CEC">
              <w:rPr>
                <w:noProof/>
                <w:webHidden/>
              </w:rPr>
              <w:tab/>
            </w:r>
            <w:r w:rsidR="00BC6CEC">
              <w:rPr>
                <w:noProof/>
                <w:webHidden/>
              </w:rPr>
              <w:fldChar w:fldCharType="begin"/>
            </w:r>
            <w:r w:rsidR="00BC6CEC">
              <w:rPr>
                <w:noProof/>
                <w:webHidden/>
              </w:rPr>
              <w:instrText xml:space="preserve"> PAGEREF _Toc109287566 \h </w:instrText>
            </w:r>
            <w:r w:rsidR="00BC6CEC">
              <w:rPr>
                <w:noProof/>
                <w:webHidden/>
              </w:rPr>
            </w:r>
            <w:r w:rsidR="00BC6CEC">
              <w:rPr>
                <w:noProof/>
                <w:webHidden/>
              </w:rPr>
              <w:fldChar w:fldCharType="separate"/>
            </w:r>
            <w:r w:rsidR="00BC6CEC">
              <w:rPr>
                <w:noProof/>
                <w:webHidden/>
              </w:rPr>
              <w:t>11</w:t>
            </w:r>
            <w:r w:rsidR="00BC6CEC">
              <w:rPr>
                <w:noProof/>
                <w:webHidden/>
              </w:rPr>
              <w:fldChar w:fldCharType="end"/>
            </w:r>
          </w:hyperlink>
        </w:p>
        <w:p w14:paraId="358DE024" w14:textId="77777777" w:rsidR="00BC6CEC" w:rsidRDefault="004E53D6">
          <w:pPr>
            <w:pStyle w:val="TOC2"/>
            <w:tabs>
              <w:tab w:val="left" w:pos="880"/>
              <w:tab w:val="right" w:leader="dot" w:pos="9622"/>
            </w:tabs>
            <w:rPr>
              <w:rFonts w:asciiTheme="minorHAnsi" w:eastAsiaTheme="minorEastAsia" w:hAnsiTheme="minorHAnsi" w:cstheme="minorBidi"/>
              <w:noProof/>
              <w:szCs w:val="22"/>
              <w:lang w:val="es-NI" w:eastAsia="es-NI"/>
            </w:rPr>
          </w:pPr>
          <w:hyperlink w:anchor="_Toc109287567" w:history="1">
            <w:r w:rsidR="00BC6CEC" w:rsidRPr="00626649">
              <w:rPr>
                <w:rStyle w:val="Hyperlink"/>
                <w:b/>
                <w:noProof/>
                <w:snapToGrid w:val="0"/>
                <w:lang w:val="es-ES_tradnl" w:eastAsia="es-ES"/>
              </w:rPr>
              <w:t>8.2</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Materialidad</w:t>
            </w:r>
            <w:r w:rsidR="00BC6CEC">
              <w:rPr>
                <w:noProof/>
                <w:webHidden/>
              </w:rPr>
              <w:tab/>
            </w:r>
            <w:r w:rsidR="00BC6CEC">
              <w:rPr>
                <w:noProof/>
                <w:webHidden/>
              </w:rPr>
              <w:fldChar w:fldCharType="begin"/>
            </w:r>
            <w:r w:rsidR="00BC6CEC">
              <w:rPr>
                <w:noProof/>
                <w:webHidden/>
              </w:rPr>
              <w:instrText xml:space="preserve"> PAGEREF _Toc109287567 \h </w:instrText>
            </w:r>
            <w:r w:rsidR="00BC6CEC">
              <w:rPr>
                <w:noProof/>
                <w:webHidden/>
              </w:rPr>
            </w:r>
            <w:r w:rsidR="00BC6CEC">
              <w:rPr>
                <w:noProof/>
                <w:webHidden/>
              </w:rPr>
              <w:fldChar w:fldCharType="separate"/>
            </w:r>
            <w:r w:rsidR="00BC6CEC">
              <w:rPr>
                <w:noProof/>
                <w:webHidden/>
              </w:rPr>
              <w:t>11</w:t>
            </w:r>
            <w:r w:rsidR="00BC6CEC">
              <w:rPr>
                <w:noProof/>
                <w:webHidden/>
              </w:rPr>
              <w:fldChar w:fldCharType="end"/>
            </w:r>
          </w:hyperlink>
        </w:p>
        <w:p w14:paraId="1EDC8BBD" w14:textId="77777777" w:rsidR="00BC6CEC" w:rsidRDefault="004E53D6">
          <w:pPr>
            <w:pStyle w:val="TOC2"/>
            <w:tabs>
              <w:tab w:val="left" w:pos="880"/>
              <w:tab w:val="right" w:leader="dot" w:pos="9622"/>
            </w:tabs>
            <w:rPr>
              <w:rFonts w:asciiTheme="minorHAnsi" w:eastAsiaTheme="minorEastAsia" w:hAnsiTheme="minorHAnsi" w:cstheme="minorBidi"/>
              <w:noProof/>
              <w:szCs w:val="22"/>
              <w:lang w:val="es-NI" w:eastAsia="es-NI"/>
            </w:rPr>
          </w:pPr>
          <w:hyperlink w:anchor="_Toc109287568" w:history="1">
            <w:r w:rsidR="00BC6CEC" w:rsidRPr="00626649">
              <w:rPr>
                <w:rStyle w:val="Hyperlink"/>
                <w:b/>
                <w:noProof/>
                <w:snapToGrid w:val="0"/>
                <w:lang w:val="es-ES_tradnl" w:eastAsia="es-ES"/>
              </w:rPr>
              <w:t>8.3</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Trabajo de campo</w:t>
            </w:r>
            <w:r w:rsidR="00BC6CEC">
              <w:rPr>
                <w:noProof/>
                <w:webHidden/>
              </w:rPr>
              <w:tab/>
            </w:r>
            <w:r w:rsidR="00BC6CEC">
              <w:rPr>
                <w:noProof/>
                <w:webHidden/>
              </w:rPr>
              <w:fldChar w:fldCharType="begin"/>
            </w:r>
            <w:r w:rsidR="00BC6CEC">
              <w:rPr>
                <w:noProof/>
                <w:webHidden/>
              </w:rPr>
              <w:instrText xml:space="preserve"> PAGEREF _Toc109287568 \h </w:instrText>
            </w:r>
            <w:r w:rsidR="00BC6CEC">
              <w:rPr>
                <w:noProof/>
                <w:webHidden/>
              </w:rPr>
            </w:r>
            <w:r w:rsidR="00BC6CEC">
              <w:rPr>
                <w:noProof/>
                <w:webHidden/>
              </w:rPr>
              <w:fldChar w:fldCharType="separate"/>
            </w:r>
            <w:r w:rsidR="00BC6CEC">
              <w:rPr>
                <w:noProof/>
                <w:webHidden/>
              </w:rPr>
              <w:t>12</w:t>
            </w:r>
            <w:r w:rsidR="00BC6CEC">
              <w:rPr>
                <w:noProof/>
                <w:webHidden/>
              </w:rPr>
              <w:fldChar w:fldCharType="end"/>
            </w:r>
          </w:hyperlink>
        </w:p>
        <w:p w14:paraId="0DE99027"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69" w:history="1">
            <w:r w:rsidR="00BC6CEC" w:rsidRPr="00626649">
              <w:rPr>
                <w:rStyle w:val="Hyperlink"/>
                <w:rFonts w:eastAsia="MS Gothic"/>
                <w:b/>
                <w:i/>
                <w:iCs/>
                <w:noProof/>
                <w:lang w:val="es-NI"/>
              </w:rPr>
              <w:t>8.3.1</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Obtener pruebas relativas al diseño de controles y realizar comprobaciones de controles</w:t>
            </w:r>
            <w:r w:rsidR="00BC6CEC">
              <w:rPr>
                <w:noProof/>
                <w:webHidden/>
              </w:rPr>
              <w:tab/>
            </w:r>
            <w:r w:rsidR="00BC6CEC">
              <w:rPr>
                <w:noProof/>
                <w:webHidden/>
              </w:rPr>
              <w:fldChar w:fldCharType="begin"/>
            </w:r>
            <w:r w:rsidR="00BC6CEC">
              <w:rPr>
                <w:noProof/>
                <w:webHidden/>
              </w:rPr>
              <w:instrText xml:space="preserve"> PAGEREF _Toc109287569 \h </w:instrText>
            </w:r>
            <w:r w:rsidR="00BC6CEC">
              <w:rPr>
                <w:noProof/>
                <w:webHidden/>
              </w:rPr>
            </w:r>
            <w:r w:rsidR="00BC6CEC">
              <w:rPr>
                <w:noProof/>
                <w:webHidden/>
              </w:rPr>
              <w:fldChar w:fldCharType="separate"/>
            </w:r>
            <w:r w:rsidR="00BC6CEC">
              <w:rPr>
                <w:noProof/>
                <w:webHidden/>
              </w:rPr>
              <w:t>12</w:t>
            </w:r>
            <w:r w:rsidR="00BC6CEC">
              <w:rPr>
                <w:noProof/>
                <w:webHidden/>
              </w:rPr>
              <w:fldChar w:fldCharType="end"/>
            </w:r>
          </w:hyperlink>
        </w:p>
        <w:p w14:paraId="544BEE60"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0" w:history="1">
            <w:r w:rsidR="00BC6CEC" w:rsidRPr="00626649">
              <w:rPr>
                <w:rStyle w:val="Hyperlink"/>
                <w:rFonts w:eastAsia="MS Gothic"/>
                <w:b/>
                <w:i/>
                <w:iCs/>
                <w:noProof/>
                <w:lang w:val="es-NI"/>
              </w:rPr>
              <w:t>8.3.2</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Procedimientos sustanciales</w:t>
            </w:r>
            <w:r w:rsidR="00BC6CEC">
              <w:rPr>
                <w:noProof/>
                <w:webHidden/>
              </w:rPr>
              <w:tab/>
            </w:r>
            <w:r w:rsidR="00BC6CEC">
              <w:rPr>
                <w:noProof/>
                <w:webHidden/>
              </w:rPr>
              <w:fldChar w:fldCharType="begin"/>
            </w:r>
            <w:r w:rsidR="00BC6CEC">
              <w:rPr>
                <w:noProof/>
                <w:webHidden/>
              </w:rPr>
              <w:instrText xml:space="preserve"> PAGEREF _Toc109287570 \h </w:instrText>
            </w:r>
            <w:r w:rsidR="00BC6CEC">
              <w:rPr>
                <w:noProof/>
                <w:webHidden/>
              </w:rPr>
            </w:r>
            <w:r w:rsidR="00BC6CEC">
              <w:rPr>
                <w:noProof/>
                <w:webHidden/>
              </w:rPr>
              <w:fldChar w:fldCharType="separate"/>
            </w:r>
            <w:r w:rsidR="00BC6CEC">
              <w:rPr>
                <w:noProof/>
                <w:webHidden/>
              </w:rPr>
              <w:t>12</w:t>
            </w:r>
            <w:r w:rsidR="00BC6CEC">
              <w:rPr>
                <w:noProof/>
                <w:webHidden/>
              </w:rPr>
              <w:fldChar w:fldCharType="end"/>
            </w:r>
          </w:hyperlink>
        </w:p>
        <w:p w14:paraId="0004BA49"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1" w:history="1">
            <w:r w:rsidR="00BC6CEC" w:rsidRPr="00626649">
              <w:rPr>
                <w:rStyle w:val="Hyperlink"/>
                <w:rFonts w:eastAsia="MS Gothic"/>
                <w:b/>
                <w:i/>
                <w:iCs/>
                <w:noProof/>
                <w:lang w:val="es-NI"/>
              </w:rPr>
              <w:t>8.3.3</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Muestreo y otros medios de seleccionar elementos para pruebas</w:t>
            </w:r>
            <w:r w:rsidR="00BC6CEC">
              <w:rPr>
                <w:noProof/>
                <w:webHidden/>
              </w:rPr>
              <w:tab/>
            </w:r>
            <w:r w:rsidR="00BC6CEC">
              <w:rPr>
                <w:noProof/>
                <w:webHidden/>
              </w:rPr>
              <w:fldChar w:fldCharType="begin"/>
            </w:r>
            <w:r w:rsidR="00BC6CEC">
              <w:rPr>
                <w:noProof/>
                <w:webHidden/>
              </w:rPr>
              <w:instrText xml:space="preserve"> PAGEREF _Toc109287571 \h </w:instrText>
            </w:r>
            <w:r w:rsidR="00BC6CEC">
              <w:rPr>
                <w:noProof/>
                <w:webHidden/>
              </w:rPr>
            </w:r>
            <w:r w:rsidR="00BC6CEC">
              <w:rPr>
                <w:noProof/>
                <w:webHidden/>
              </w:rPr>
              <w:fldChar w:fldCharType="separate"/>
            </w:r>
            <w:r w:rsidR="00BC6CEC">
              <w:rPr>
                <w:noProof/>
                <w:webHidden/>
              </w:rPr>
              <w:t>12</w:t>
            </w:r>
            <w:r w:rsidR="00BC6CEC">
              <w:rPr>
                <w:noProof/>
                <w:webHidden/>
              </w:rPr>
              <w:fldChar w:fldCharType="end"/>
            </w:r>
          </w:hyperlink>
        </w:p>
        <w:p w14:paraId="506B3B17"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2" w:history="1">
            <w:r w:rsidR="00BC6CEC" w:rsidRPr="00626649">
              <w:rPr>
                <w:rStyle w:val="Hyperlink"/>
                <w:rFonts w:eastAsia="MS Gothic"/>
                <w:b/>
                <w:i/>
                <w:iCs/>
                <w:noProof/>
                <w:lang w:val="es-NI"/>
              </w:rPr>
              <w:t>8.3.4</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Procedimientos analíticos</w:t>
            </w:r>
            <w:r w:rsidR="00BC6CEC">
              <w:rPr>
                <w:noProof/>
                <w:webHidden/>
              </w:rPr>
              <w:tab/>
            </w:r>
            <w:r w:rsidR="00BC6CEC">
              <w:rPr>
                <w:noProof/>
                <w:webHidden/>
              </w:rPr>
              <w:fldChar w:fldCharType="begin"/>
            </w:r>
            <w:r w:rsidR="00BC6CEC">
              <w:rPr>
                <w:noProof/>
                <w:webHidden/>
              </w:rPr>
              <w:instrText xml:space="preserve"> PAGEREF _Toc109287572 \h </w:instrText>
            </w:r>
            <w:r w:rsidR="00BC6CEC">
              <w:rPr>
                <w:noProof/>
                <w:webHidden/>
              </w:rPr>
            </w:r>
            <w:r w:rsidR="00BC6CEC">
              <w:rPr>
                <w:noProof/>
                <w:webHidden/>
              </w:rPr>
              <w:fldChar w:fldCharType="separate"/>
            </w:r>
            <w:r w:rsidR="00BC6CEC">
              <w:rPr>
                <w:noProof/>
                <w:webHidden/>
              </w:rPr>
              <w:t>13</w:t>
            </w:r>
            <w:r w:rsidR="00BC6CEC">
              <w:rPr>
                <w:noProof/>
                <w:webHidden/>
              </w:rPr>
              <w:fldChar w:fldCharType="end"/>
            </w:r>
          </w:hyperlink>
        </w:p>
        <w:p w14:paraId="3CC6C084"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3" w:history="1">
            <w:r w:rsidR="00BC6CEC" w:rsidRPr="00626649">
              <w:rPr>
                <w:rStyle w:val="Hyperlink"/>
                <w:rFonts w:eastAsia="MS Gothic"/>
                <w:b/>
                <w:i/>
                <w:iCs/>
                <w:noProof/>
                <w:lang w:val="es-NI"/>
              </w:rPr>
              <w:t>8.3.5</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Utilizar el trabajo de los auditores internos</w:t>
            </w:r>
            <w:r w:rsidR="00BC6CEC">
              <w:rPr>
                <w:noProof/>
                <w:webHidden/>
              </w:rPr>
              <w:tab/>
            </w:r>
            <w:r w:rsidR="00BC6CEC">
              <w:rPr>
                <w:noProof/>
                <w:webHidden/>
              </w:rPr>
              <w:fldChar w:fldCharType="begin"/>
            </w:r>
            <w:r w:rsidR="00BC6CEC">
              <w:rPr>
                <w:noProof/>
                <w:webHidden/>
              </w:rPr>
              <w:instrText xml:space="preserve"> PAGEREF _Toc109287573 \h </w:instrText>
            </w:r>
            <w:r w:rsidR="00BC6CEC">
              <w:rPr>
                <w:noProof/>
                <w:webHidden/>
              </w:rPr>
            </w:r>
            <w:r w:rsidR="00BC6CEC">
              <w:rPr>
                <w:noProof/>
                <w:webHidden/>
              </w:rPr>
              <w:fldChar w:fldCharType="separate"/>
            </w:r>
            <w:r w:rsidR="00BC6CEC">
              <w:rPr>
                <w:noProof/>
                <w:webHidden/>
              </w:rPr>
              <w:t>13</w:t>
            </w:r>
            <w:r w:rsidR="00BC6CEC">
              <w:rPr>
                <w:noProof/>
                <w:webHidden/>
              </w:rPr>
              <w:fldChar w:fldCharType="end"/>
            </w:r>
          </w:hyperlink>
        </w:p>
        <w:p w14:paraId="2FD46384"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4" w:history="1">
            <w:r w:rsidR="00BC6CEC" w:rsidRPr="00626649">
              <w:rPr>
                <w:rStyle w:val="Hyperlink"/>
                <w:rFonts w:eastAsia="MS Gothic"/>
                <w:b/>
                <w:i/>
                <w:iCs/>
                <w:noProof/>
                <w:lang w:val="es-NI"/>
              </w:rPr>
              <w:t>8.3.6</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Utilizar el trabajo de un experto</w:t>
            </w:r>
            <w:r w:rsidR="00BC6CEC">
              <w:rPr>
                <w:noProof/>
                <w:webHidden/>
              </w:rPr>
              <w:tab/>
            </w:r>
            <w:r w:rsidR="00BC6CEC">
              <w:rPr>
                <w:noProof/>
                <w:webHidden/>
              </w:rPr>
              <w:fldChar w:fldCharType="begin"/>
            </w:r>
            <w:r w:rsidR="00BC6CEC">
              <w:rPr>
                <w:noProof/>
                <w:webHidden/>
              </w:rPr>
              <w:instrText xml:space="preserve"> PAGEREF _Toc109287574 \h </w:instrText>
            </w:r>
            <w:r w:rsidR="00BC6CEC">
              <w:rPr>
                <w:noProof/>
                <w:webHidden/>
              </w:rPr>
            </w:r>
            <w:r w:rsidR="00BC6CEC">
              <w:rPr>
                <w:noProof/>
                <w:webHidden/>
              </w:rPr>
              <w:fldChar w:fldCharType="separate"/>
            </w:r>
            <w:r w:rsidR="00BC6CEC">
              <w:rPr>
                <w:noProof/>
                <w:webHidden/>
              </w:rPr>
              <w:t>13</w:t>
            </w:r>
            <w:r w:rsidR="00BC6CEC">
              <w:rPr>
                <w:noProof/>
                <w:webHidden/>
              </w:rPr>
              <w:fldChar w:fldCharType="end"/>
            </w:r>
          </w:hyperlink>
        </w:p>
        <w:p w14:paraId="01FA9773"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5" w:history="1">
            <w:r w:rsidR="00BC6CEC" w:rsidRPr="00626649">
              <w:rPr>
                <w:rStyle w:val="Hyperlink"/>
                <w:rFonts w:eastAsia="MS Gothic"/>
                <w:b/>
                <w:i/>
                <w:iCs/>
                <w:noProof/>
                <w:lang w:val="es-NI"/>
              </w:rPr>
              <w:t>8.3.7</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Representaciones escritas</w:t>
            </w:r>
            <w:r w:rsidR="00BC6CEC">
              <w:rPr>
                <w:noProof/>
                <w:webHidden/>
              </w:rPr>
              <w:tab/>
            </w:r>
            <w:r w:rsidR="00BC6CEC">
              <w:rPr>
                <w:noProof/>
                <w:webHidden/>
              </w:rPr>
              <w:fldChar w:fldCharType="begin"/>
            </w:r>
            <w:r w:rsidR="00BC6CEC">
              <w:rPr>
                <w:noProof/>
                <w:webHidden/>
              </w:rPr>
              <w:instrText xml:space="preserve"> PAGEREF _Toc109287575 \h </w:instrText>
            </w:r>
            <w:r w:rsidR="00BC6CEC">
              <w:rPr>
                <w:noProof/>
                <w:webHidden/>
              </w:rPr>
            </w:r>
            <w:r w:rsidR="00BC6CEC">
              <w:rPr>
                <w:noProof/>
                <w:webHidden/>
              </w:rPr>
              <w:fldChar w:fldCharType="separate"/>
            </w:r>
            <w:r w:rsidR="00BC6CEC">
              <w:rPr>
                <w:noProof/>
                <w:webHidden/>
              </w:rPr>
              <w:t>13</w:t>
            </w:r>
            <w:r w:rsidR="00BC6CEC">
              <w:rPr>
                <w:noProof/>
                <w:webHidden/>
              </w:rPr>
              <w:fldChar w:fldCharType="end"/>
            </w:r>
          </w:hyperlink>
        </w:p>
        <w:p w14:paraId="0590B7C0"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6" w:history="1">
            <w:r w:rsidR="00BC6CEC" w:rsidRPr="00626649">
              <w:rPr>
                <w:rStyle w:val="Hyperlink"/>
                <w:rFonts w:eastAsia="MS Gothic"/>
                <w:b/>
                <w:i/>
                <w:iCs/>
                <w:noProof/>
                <w:lang w:val="es-NI"/>
              </w:rPr>
              <w:t>8.3.8</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Carta complementaria</w:t>
            </w:r>
            <w:r w:rsidR="00BC6CEC">
              <w:rPr>
                <w:noProof/>
                <w:webHidden/>
              </w:rPr>
              <w:tab/>
            </w:r>
            <w:r w:rsidR="00BC6CEC">
              <w:rPr>
                <w:noProof/>
                <w:webHidden/>
              </w:rPr>
              <w:fldChar w:fldCharType="begin"/>
            </w:r>
            <w:r w:rsidR="00BC6CEC">
              <w:rPr>
                <w:noProof/>
                <w:webHidden/>
              </w:rPr>
              <w:instrText xml:space="preserve"> PAGEREF _Toc109287576 \h </w:instrText>
            </w:r>
            <w:r w:rsidR="00BC6CEC">
              <w:rPr>
                <w:noProof/>
                <w:webHidden/>
              </w:rPr>
            </w:r>
            <w:r w:rsidR="00BC6CEC">
              <w:rPr>
                <w:noProof/>
                <w:webHidden/>
              </w:rPr>
              <w:fldChar w:fldCharType="separate"/>
            </w:r>
            <w:r w:rsidR="00BC6CEC">
              <w:rPr>
                <w:noProof/>
                <w:webHidden/>
              </w:rPr>
              <w:t>14</w:t>
            </w:r>
            <w:r w:rsidR="00BC6CEC">
              <w:rPr>
                <w:noProof/>
                <w:webHidden/>
              </w:rPr>
              <w:fldChar w:fldCharType="end"/>
            </w:r>
          </w:hyperlink>
        </w:p>
        <w:p w14:paraId="1BE5F13C"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77" w:history="1">
            <w:r w:rsidR="00BC6CEC" w:rsidRPr="00626649">
              <w:rPr>
                <w:rStyle w:val="Hyperlink"/>
                <w:rFonts w:eastAsia="MS Gothic"/>
                <w:b/>
                <w:i/>
                <w:iCs/>
                <w:noProof/>
                <w:lang w:val="es-NI"/>
              </w:rPr>
              <w:t>8.3.9</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Memorando informativo</w:t>
            </w:r>
            <w:r w:rsidR="00BC6CEC">
              <w:rPr>
                <w:noProof/>
                <w:webHidden/>
              </w:rPr>
              <w:tab/>
            </w:r>
            <w:r w:rsidR="00BC6CEC">
              <w:rPr>
                <w:noProof/>
                <w:webHidden/>
              </w:rPr>
              <w:fldChar w:fldCharType="begin"/>
            </w:r>
            <w:r w:rsidR="00BC6CEC">
              <w:rPr>
                <w:noProof/>
                <w:webHidden/>
              </w:rPr>
              <w:instrText xml:space="preserve"> PAGEREF _Toc109287577 \h </w:instrText>
            </w:r>
            <w:r w:rsidR="00BC6CEC">
              <w:rPr>
                <w:noProof/>
                <w:webHidden/>
              </w:rPr>
            </w:r>
            <w:r w:rsidR="00BC6CEC">
              <w:rPr>
                <w:noProof/>
                <w:webHidden/>
              </w:rPr>
              <w:fldChar w:fldCharType="separate"/>
            </w:r>
            <w:r w:rsidR="00BC6CEC">
              <w:rPr>
                <w:noProof/>
                <w:webHidden/>
              </w:rPr>
              <w:t>14</w:t>
            </w:r>
            <w:r w:rsidR="00BC6CEC">
              <w:rPr>
                <w:noProof/>
                <w:webHidden/>
              </w:rPr>
              <w:fldChar w:fldCharType="end"/>
            </w:r>
          </w:hyperlink>
        </w:p>
        <w:p w14:paraId="5F6442E8" w14:textId="77777777" w:rsidR="00BC6CEC" w:rsidRDefault="004E53D6">
          <w:pPr>
            <w:pStyle w:val="TOC3"/>
            <w:tabs>
              <w:tab w:val="left" w:pos="1540"/>
              <w:tab w:val="right" w:leader="dot" w:pos="9622"/>
            </w:tabs>
            <w:rPr>
              <w:rFonts w:asciiTheme="minorHAnsi" w:eastAsiaTheme="minorEastAsia" w:hAnsiTheme="minorHAnsi" w:cstheme="minorBidi"/>
              <w:noProof/>
              <w:szCs w:val="22"/>
              <w:lang w:val="es-NI" w:eastAsia="es-NI"/>
            </w:rPr>
          </w:pPr>
          <w:hyperlink w:anchor="_Toc109287578" w:history="1">
            <w:r w:rsidR="00BC6CEC" w:rsidRPr="00626649">
              <w:rPr>
                <w:rStyle w:val="Hyperlink"/>
                <w:rFonts w:eastAsia="MS Gothic"/>
                <w:b/>
                <w:i/>
                <w:iCs/>
                <w:noProof/>
                <w:lang w:val="es-NI"/>
              </w:rPr>
              <w:t>8.3.10</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Reunión de clausura de la auditoría en el país</w:t>
            </w:r>
            <w:r w:rsidR="00BC6CEC">
              <w:rPr>
                <w:noProof/>
                <w:webHidden/>
              </w:rPr>
              <w:tab/>
            </w:r>
            <w:r w:rsidR="00BC6CEC">
              <w:rPr>
                <w:noProof/>
                <w:webHidden/>
              </w:rPr>
              <w:fldChar w:fldCharType="begin"/>
            </w:r>
            <w:r w:rsidR="00BC6CEC">
              <w:rPr>
                <w:noProof/>
                <w:webHidden/>
              </w:rPr>
              <w:instrText xml:space="preserve"> PAGEREF _Toc109287578 \h </w:instrText>
            </w:r>
            <w:r w:rsidR="00BC6CEC">
              <w:rPr>
                <w:noProof/>
                <w:webHidden/>
              </w:rPr>
            </w:r>
            <w:r w:rsidR="00BC6CEC">
              <w:rPr>
                <w:noProof/>
                <w:webHidden/>
              </w:rPr>
              <w:fldChar w:fldCharType="separate"/>
            </w:r>
            <w:r w:rsidR="00BC6CEC">
              <w:rPr>
                <w:noProof/>
                <w:webHidden/>
              </w:rPr>
              <w:t>14</w:t>
            </w:r>
            <w:r w:rsidR="00BC6CEC">
              <w:rPr>
                <w:noProof/>
                <w:webHidden/>
              </w:rPr>
              <w:fldChar w:fldCharType="end"/>
            </w:r>
          </w:hyperlink>
        </w:p>
        <w:p w14:paraId="2467B11C" w14:textId="77777777" w:rsidR="00BC6CEC" w:rsidRDefault="004E53D6">
          <w:pPr>
            <w:pStyle w:val="TOC1"/>
            <w:tabs>
              <w:tab w:val="left" w:pos="440"/>
              <w:tab w:val="right" w:leader="dot" w:pos="9622"/>
            </w:tabs>
            <w:rPr>
              <w:rFonts w:asciiTheme="minorHAnsi" w:eastAsiaTheme="minorEastAsia" w:hAnsiTheme="minorHAnsi" w:cstheme="minorBidi"/>
              <w:noProof/>
              <w:szCs w:val="22"/>
              <w:lang w:val="es-NI" w:eastAsia="es-NI"/>
            </w:rPr>
          </w:pPr>
          <w:hyperlink w:anchor="_Toc109287579" w:history="1">
            <w:r w:rsidR="00BC6CEC" w:rsidRPr="00626649">
              <w:rPr>
                <w:rStyle w:val="Hyperlink"/>
                <w:noProof/>
                <w:snapToGrid w:val="0"/>
                <w:lang w:val="es-ES_tradnl" w:eastAsia="es-ES"/>
              </w:rPr>
              <w:t>9.</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Informe e idioma del auditor</w:t>
            </w:r>
            <w:r w:rsidR="00BC6CEC">
              <w:rPr>
                <w:noProof/>
                <w:webHidden/>
              </w:rPr>
              <w:tab/>
            </w:r>
            <w:r w:rsidR="00BC6CEC">
              <w:rPr>
                <w:noProof/>
                <w:webHidden/>
              </w:rPr>
              <w:fldChar w:fldCharType="begin"/>
            </w:r>
            <w:r w:rsidR="00BC6CEC">
              <w:rPr>
                <w:noProof/>
                <w:webHidden/>
              </w:rPr>
              <w:instrText xml:space="preserve"> PAGEREF _Toc109287579 \h </w:instrText>
            </w:r>
            <w:r w:rsidR="00BC6CEC">
              <w:rPr>
                <w:noProof/>
                <w:webHidden/>
              </w:rPr>
            </w:r>
            <w:r w:rsidR="00BC6CEC">
              <w:rPr>
                <w:noProof/>
                <w:webHidden/>
              </w:rPr>
              <w:fldChar w:fldCharType="separate"/>
            </w:r>
            <w:r w:rsidR="00BC6CEC">
              <w:rPr>
                <w:noProof/>
                <w:webHidden/>
              </w:rPr>
              <w:t>14</w:t>
            </w:r>
            <w:r w:rsidR="00BC6CEC">
              <w:rPr>
                <w:noProof/>
                <w:webHidden/>
              </w:rPr>
              <w:fldChar w:fldCharType="end"/>
            </w:r>
          </w:hyperlink>
        </w:p>
        <w:p w14:paraId="390253D7" w14:textId="77777777" w:rsidR="00BC6CEC" w:rsidRDefault="004E53D6">
          <w:pPr>
            <w:pStyle w:val="TOC1"/>
            <w:tabs>
              <w:tab w:val="left" w:pos="660"/>
              <w:tab w:val="right" w:leader="dot" w:pos="9622"/>
            </w:tabs>
            <w:rPr>
              <w:rFonts w:asciiTheme="minorHAnsi" w:eastAsiaTheme="minorEastAsia" w:hAnsiTheme="minorHAnsi" w:cstheme="minorBidi"/>
              <w:noProof/>
              <w:szCs w:val="22"/>
              <w:lang w:val="es-NI" w:eastAsia="es-NI"/>
            </w:rPr>
          </w:pPr>
          <w:hyperlink w:anchor="_Toc109287580" w:history="1">
            <w:r w:rsidR="00BC6CEC" w:rsidRPr="00626649">
              <w:rPr>
                <w:rStyle w:val="Hyperlink"/>
                <w:noProof/>
                <w:snapToGrid w:val="0"/>
                <w:lang w:val="es-ES_tradnl" w:eastAsia="es-ES"/>
              </w:rPr>
              <w:t>10.</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Carta de gestión</w:t>
            </w:r>
            <w:r w:rsidR="00BC6CEC">
              <w:rPr>
                <w:noProof/>
                <w:webHidden/>
              </w:rPr>
              <w:tab/>
            </w:r>
            <w:r w:rsidR="00BC6CEC">
              <w:rPr>
                <w:noProof/>
                <w:webHidden/>
              </w:rPr>
              <w:fldChar w:fldCharType="begin"/>
            </w:r>
            <w:r w:rsidR="00BC6CEC">
              <w:rPr>
                <w:noProof/>
                <w:webHidden/>
              </w:rPr>
              <w:instrText xml:space="preserve"> PAGEREF _Toc109287580 \h </w:instrText>
            </w:r>
            <w:r w:rsidR="00BC6CEC">
              <w:rPr>
                <w:noProof/>
                <w:webHidden/>
              </w:rPr>
            </w:r>
            <w:r w:rsidR="00BC6CEC">
              <w:rPr>
                <w:noProof/>
                <w:webHidden/>
              </w:rPr>
              <w:fldChar w:fldCharType="separate"/>
            </w:r>
            <w:r w:rsidR="00BC6CEC">
              <w:rPr>
                <w:noProof/>
                <w:webHidden/>
              </w:rPr>
              <w:t>14</w:t>
            </w:r>
            <w:r w:rsidR="00BC6CEC">
              <w:rPr>
                <w:noProof/>
                <w:webHidden/>
              </w:rPr>
              <w:fldChar w:fldCharType="end"/>
            </w:r>
          </w:hyperlink>
        </w:p>
        <w:p w14:paraId="295742B0" w14:textId="77777777" w:rsidR="00BC6CEC" w:rsidRDefault="004E53D6">
          <w:pPr>
            <w:pStyle w:val="TOC2"/>
            <w:tabs>
              <w:tab w:val="left" w:pos="1100"/>
              <w:tab w:val="right" w:leader="dot" w:pos="9622"/>
            </w:tabs>
            <w:rPr>
              <w:rFonts w:asciiTheme="minorHAnsi" w:eastAsiaTheme="minorEastAsia" w:hAnsiTheme="minorHAnsi" w:cstheme="minorBidi"/>
              <w:noProof/>
              <w:szCs w:val="22"/>
              <w:lang w:val="es-NI" w:eastAsia="es-NI"/>
            </w:rPr>
          </w:pPr>
          <w:hyperlink w:anchor="_Toc109287581" w:history="1">
            <w:r w:rsidR="00BC6CEC" w:rsidRPr="00626649">
              <w:rPr>
                <w:rStyle w:val="Hyperlink"/>
                <w:b/>
                <w:noProof/>
                <w:snapToGrid w:val="0"/>
                <w:lang w:val="es-ES_tradnl" w:eastAsia="es-ES"/>
              </w:rPr>
              <w:t>10.1</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Marco de control interno</w:t>
            </w:r>
            <w:r w:rsidR="00BC6CEC">
              <w:rPr>
                <w:noProof/>
                <w:webHidden/>
              </w:rPr>
              <w:tab/>
            </w:r>
            <w:r w:rsidR="00BC6CEC">
              <w:rPr>
                <w:noProof/>
                <w:webHidden/>
              </w:rPr>
              <w:fldChar w:fldCharType="begin"/>
            </w:r>
            <w:r w:rsidR="00BC6CEC">
              <w:rPr>
                <w:noProof/>
                <w:webHidden/>
              </w:rPr>
              <w:instrText xml:space="preserve"> PAGEREF _Toc109287581 \h </w:instrText>
            </w:r>
            <w:r w:rsidR="00BC6CEC">
              <w:rPr>
                <w:noProof/>
                <w:webHidden/>
              </w:rPr>
            </w:r>
            <w:r w:rsidR="00BC6CEC">
              <w:rPr>
                <w:noProof/>
                <w:webHidden/>
              </w:rPr>
              <w:fldChar w:fldCharType="separate"/>
            </w:r>
            <w:r w:rsidR="00BC6CEC">
              <w:rPr>
                <w:noProof/>
                <w:webHidden/>
              </w:rPr>
              <w:t>15</w:t>
            </w:r>
            <w:r w:rsidR="00BC6CEC">
              <w:rPr>
                <w:noProof/>
                <w:webHidden/>
              </w:rPr>
              <w:fldChar w:fldCharType="end"/>
            </w:r>
          </w:hyperlink>
        </w:p>
        <w:p w14:paraId="13A61CC7" w14:textId="77777777" w:rsidR="00BC6CEC" w:rsidRDefault="004E53D6">
          <w:pPr>
            <w:pStyle w:val="TOC2"/>
            <w:tabs>
              <w:tab w:val="left" w:pos="1100"/>
              <w:tab w:val="right" w:leader="dot" w:pos="9622"/>
            </w:tabs>
            <w:rPr>
              <w:rFonts w:asciiTheme="minorHAnsi" w:eastAsiaTheme="minorEastAsia" w:hAnsiTheme="minorHAnsi" w:cstheme="minorBidi"/>
              <w:noProof/>
              <w:szCs w:val="22"/>
              <w:lang w:val="es-NI" w:eastAsia="es-NI"/>
            </w:rPr>
          </w:pPr>
          <w:hyperlink w:anchor="_Toc109287582" w:history="1">
            <w:r w:rsidR="00BC6CEC" w:rsidRPr="00626649">
              <w:rPr>
                <w:rStyle w:val="Hyperlink"/>
                <w:b/>
                <w:noProof/>
                <w:snapToGrid w:val="0"/>
                <w:lang w:val="es-ES_tradnl" w:eastAsia="es-ES"/>
              </w:rPr>
              <w:t>10.2</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Gestión de riesgos</w:t>
            </w:r>
            <w:r w:rsidR="00BC6CEC">
              <w:rPr>
                <w:noProof/>
                <w:webHidden/>
              </w:rPr>
              <w:tab/>
            </w:r>
            <w:r w:rsidR="00BC6CEC">
              <w:rPr>
                <w:noProof/>
                <w:webHidden/>
              </w:rPr>
              <w:fldChar w:fldCharType="begin"/>
            </w:r>
            <w:r w:rsidR="00BC6CEC">
              <w:rPr>
                <w:noProof/>
                <w:webHidden/>
              </w:rPr>
              <w:instrText xml:space="preserve"> PAGEREF _Toc109287582 \h </w:instrText>
            </w:r>
            <w:r w:rsidR="00BC6CEC">
              <w:rPr>
                <w:noProof/>
                <w:webHidden/>
              </w:rPr>
            </w:r>
            <w:r w:rsidR="00BC6CEC">
              <w:rPr>
                <w:noProof/>
                <w:webHidden/>
              </w:rPr>
              <w:fldChar w:fldCharType="separate"/>
            </w:r>
            <w:r w:rsidR="00BC6CEC">
              <w:rPr>
                <w:noProof/>
                <w:webHidden/>
              </w:rPr>
              <w:t>16</w:t>
            </w:r>
            <w:r w:rsidR="00BC6CEC">
              <w:rPr>
                <w:noProof/>
                <w:webHidden/>
              </w:rPr>
              <w:fldChar w:fldCharType="end"/>
            </w:r>
          </w:hyperlink>
        </w:p>
        <w:p w14:paraId="66AAB2AA" w14:textId="77777777" w:rsidR="00BC6CEC" w:rsidRDefault="004E53D6">
          <w:pPr>
            <w:pStyle w:val="TOC2"/>
            <w:tabs>
              <w:tab w:val="left" w:pos="1100"/>
              <w:tab w:val="right" w:leader="dot" w:pos="9622"/>
            </w:tabs>
            <w:rPr>
              <w:rFonts w:asciiTheme="minorHAnsi" w:eastAsiaTheme="minorEastAsia" w:hAnsiTheme="minorHAnsi" w:cstheme="minorBidi"/>
              <w:noProof/>
              <w:szCs w:val="22"/>
              <w:lang w:val="es-NI" w:eastAsia="es-NI"/>
            </w:rPr>
          </w:pPr>
          <w:hyperlink w:anchor="_Toc109287583" w:history="1">
            <w:r w:rsidR="00BC6CEC" w:rsidRPr="00626649">
              <w:rPr>
                <w:rStyle w:val="Hyperlink"/>
                <w:b/>
                <w:noProof/>
                <w:snapToGrid w:val="0"/>
                <w:lang w:val="es-ES_tradnl" w:eastAsia="es-ES"/>
              </w:rPr>
              <w:t>10.3</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Otras divulgaciones importantes</w:t>
            </w:r>
            <w:r w:rsidR="00BC6CEC">
              <w:rPr>
                <w:noProof/>
                <w:webHidden/>
              </w:rPr>
              <w:tab/>
            </w:r>
            <w:r w:rsidR="00BC6CEC">
              <w:rPr>
                <w:noProof/>
                <w:webHidden/>
              </w:rPr>
              <w:fldChar w:fldCharType="begin"/>
            </w:r>
            <w:r w:rsidR="00BC6CEC">
              <w:rPr>
                <w:noProof/>
                <w:webHidden/>
              </w:rPr>
              <w:instrText xml:space="preserve"> PAGEREF _Toc109287583 \h </w:instrText>
            </w:r>
            <w:r w:rsidR="00BC6CEC">
              <w:rPr>
                <w:noProof/>
                <w:webHidden/>
              </w:rPr>
            </w:r>
            <w:r w:rsidR="00BC6CEC">
              <w:rPr>
                <w:noProof/>
                <w:webHidden/>
              </w:rPr>
              <w:fldChar w:fldCharType="separate"/>
            </w:r>
            <w:r w:rsidR="00BC6CEC">
              <w:rPr>
                <w:noProof/>
                <w:webHidden/>
              </w:rPr>
              <w:t>17</w:t>
            </w:r>
            <w:r w:rsidR="00BC6CEC">
              <w:rPr>
                <w:noProof/>
                <w:webHidden/>
              </w:rPr>
              <w:fldChar w:fldCharType="end"/>
            </w:r>
          </w:hyperlink>
        </w:p>
        <w:p w14:paraId="3D9522B0" w14:textId="77777777" w:rsidR="00BC6CEC" w:rsidRDefault="004E53D6">
          <w:pPr>
            <w:pStyle w:val="TOC2"/>
            <w:tabs>
              <w:tab w:val="left" w:pos="1100"/>
              <w:tab w:val="right" w:leader="dot" w:pos="9622"/>
            </w:tabs>
            <w:rPr>
              <w:rFonts w:asciiTheme="minorHAnsi" w:eastAsiaTheme="minorEastAsia" w:hAnsiTheme="minorHAnsi" w:cstheme="minorBidi"/>
              <w:noProof/>
              <w:szCs w:val="22"/>
              <w:lang w:val="es-NI" w:eastAsia="es-NI"/>
            </w:rPr>
          </w:pPr>
          <w:hyperlink w:anchor="_Toc109287584" w:history="1">
            <w:r w:rsidR="00BC6CEC" w:rsidRPr="00626649">
              <w:rPr>
                <w:rStyle w:val="Hyperlink"/>
                <w:b/>
                <w:noProof/>
                <w:snapToGrid w:val="0"/>
                <w:lang w:val="es-ES_tradnl" w:eastAsia="es-ES"/>
              </w:rPr>
              <w:t>10.4</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Proceso de revisión de informes</w:t>
            </w:r>
            <w:r w:rsidR="00BC6CEC">
              <w:rPr>
                <w:noProof/>
                <w:webHidden/>
              </w:rPr>
              <w:tab/>
            </w:r>
            <w:r w:rsidR="00BC6CEC">
              <w:rPr>
                <w:noProof/>
                <w:webHidden/>
              </w:rPr>
              <w:fldChar w:fldCharType="begin"/>
            </w:r>
            <w:r w:rsidR="00BC6CEC">
              <w:rPr>
                <w:noProof/>
                <w:webHidden/>
              </w:rPr>
              <w:instrText xml:space="preserve"> PAGEREF _Toc109287584 \h </w:instrText>
            </w:r>
            <w:r w:rsidR="00BC6CEC">
              <w:rPr>
                <w:noProof/>
                <w:webHidden/>
              </w:rPr>
            </w:r>
            <w:r w:rsidR="00BC6CEC">
              <w:rPr>
                <w:noProof/>
                <w:webHidden/>
              </w:rPr>
              <w:fldChar w:fldCharType="separate"/>
            </w:r>
            <w:r w:rsidR="00BC6CEC">
              <w:rPr>
                <w:noProof/>
                <w:webHidden/>
              </w:rPr>
              <w:t>18</w:t>
            </w:r>
            <w:r w:rsidR="00BC6CEC">
              <w:rPr>
                <w:noProof/>
                <w:webHidden/>
              </w:rPr>
              <w:fldChar w:fldCharType="end"/>
            </w:r>
          </w:hyperlink>
        </w:p>
        <w:p w14:paraId="1D60883D" w14:textId="77777777" w:rsidR="00BC6CEC" w:rsidRDefault="004E53D6">
          <w:pPr>
            <w:pStyle w:val="TOC3"/>
            <w:tabs>
              <w:tab w:val="left" w:pos="1320"/>
              <w:tab w:val="right" w:leader="dot" w:pos="9622"/>
            </w:tabs>
            <w:rPr>
              <w:rFonts w:asciiTheme="minorHAnsi" w:eastAsiaTheme="minorEastAsia" w:hAnsiTheme="minorHAnsi" w:cstheme="minorBidi"/>
              <w:noProof/>
              <w:szCs w:val="22"/>
              <w:lang w:val="es-NI" w:eastAsia="es-NI"/>
            </w:rPr>
          </w:pPr>
          <w:hyperlink w:anchor="_Toc109287585" w:history="1">
            <w:r w:rsidR="00BC6CEC" w:rsidRPr="00626649">
              <w:rPr>
                <w:rStyle w:val="Hyperlink"/>
                <w:rFonts w:eastAsia="MS Gothic"/>
                <w:b/>
                <w:i/>
                <w:iCs/>
                <w:noProof/>
                <w:lang w:val="es-NI"/>
              </w:rPr>
              <w:t>10.4.1</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Informe provisional</w:t>
            </w:r>
            <w:r w:rsidR="00BC6CEC">
              <w:rPr>
                <w:noProof/>
                <w:webHidden/>
              </w:rPr>
              <w:tab/>
            </w:r>
            <w:r w:rsidR="00BC6CEC">
              <w:rPr>
                <w:noProof/>
                <w:webHidden/>
              </w:rPr>
              <w:fldChar w:fldCharType="begin"/>
            </w:r>
            <w:r w:rsidR="00BC6CEC">
              <w:rPr>
                <w:noProof/>
                <w:webHidden/>
              </w:rPr>
              <w:instrText xml:space="preserve"> PAGEREF _Toc109287585 \h </w:instrText>
            </w:r>
            <w:r w:rsidR="00BC6CEC">
              <w:rPr>
                <w:noProof/>
                <w:webHidden/>
              </w:rPr>
            </w:r>
            <w:r w:rsidR="00BC6CEC">
              <w:rPr>
                <w:noProof/>
                <w:webHidden/>
              </w:rPr>
              <w:fldChar w:fldCharType="separate"/>
            </w:r>
            <w:r w:rsidR="00BC6CEC">
              <w:rPr>
                <w:noProof/>
                <w:webHidden/>
              </w:rPr>
              <w:t>18</w:t>
            </w:r>
            <w:r w:rsidR="00BC6CEC">
              <w:rPr>
                <w:noProof/>
                <w:webHidden/>
              </w:rPr>
              <w:fldChar w:fldCharType="end"/>
            </w:r>
          </w:hyperlink>
        </w:p>
        <w:p w14:paraId="1B575EE2" w14:textId="77777777" w:rsidR="00BC6CEC" w:rsidRDefault="004E53D6">
          <w:pPr>
            <w:pStyle w:val="TOC3"/>
            <w:tabs>
              <w:tab w:val="left" w:pos="1540"/>
              <w:tab w:val="right" w:leader="dot" w:pos="9622"/>
            </w:tabs>
            <w:rPr>
              <w:rFonts w:asciiTheme="minorHAnsi" w:eastAsiaTheme="minorEastAsia" w:hAnsiTheme="minorHAnsi" w:cstheme="minorBidi"/>
              <w:noProof/>
              <w:szCs w:val="22"/>
              <w:lang w:val="es-NI" w:eastAsia="es-NI"/>
            </w:rPr>
          </w:pPr>
          <w:hyperlink w:anchor="_Toc109287586" w:history="1">
            <w:r w:rsidR="00BC6CEC" w:rsidRPr="00626649">
              <w:rPr>
                <w:rStyle w:val="Hyperlink"/>
                <w:rFonts w:eastAsia="MS Gothic"/>
                <w:b/>
                <w:i/>
                <w:iCs/>
                <w:noProof/>
                <w:lang w:val="es-NI"/>
              </w:rPr>
              <w:t>10.4.2</w:t>
            </w:r>
            <w:r w:rsidR="00BC6CEC">
              <w:rPr>
                <w:rFonts w:asciiTheme="minorHAnsi" w:eastAsiaTheme="minorEastAsia" w:hAnsiTheme="minorHAnsi" w:cstheme="minorBidi"/>
                <w:noProof/>
                <w:szCs w:val="22"/>
                <w:lang w:val="es-NI" w:eastAsia="es-NI"/>
              </w:rPr>
              <w:tab/>
            </w:r>
            <w:r w:rsidR="00BC6CEC" w:rsidRPr="00626649">
              <w:rPr>
                <w:rStyle w:val="Hyperlink"/>
                <w:rFonts w:eastAsia="MS Gothic"/>
                <w:b/>
                <w:i/>
                <w:iCs/>
                <w:noProof/>
                <w:lang w:val="es-NI"/>
              </w:rPr>
              <w:t>Informe final</w:t>
            </w:r>
            <w:r w:rsidR="00BC6CEC">
              <w:rPr>
                <w:noProof/>
                <w:webHidden/>
              </w:rPr>
              <w:tab/>
            </w:r>
            <w:r w:rsidR="00BC6CEC">
              <w:rPr>
                <w:noProof/>
                <w:webHidden/>
              </w:rPr>
              <w:fldChar w:fldCharType="begin"/>
            </w:r>
            <w:r w:rsidR="00BC6CEC">
              <w:rPr>
                <w:noProof/>
                <w:webHidden/>
              </w:rPr>
              <w:instrText xml:space="preserve"> PAGEREF _Toc109287586 \h </w:instrText>
            </w:r>
            <w:r w:rsidR="00BC6CEC">
              <w:rPr>
                <w:noProof/>
                <w:webHidden/>
              </w:rPr>
            </w:r>
            <w:r w:rsidR="00BC6CEC">
              <w:rPr>
                <w:noProof/>
                <w:webHidden/>
              </w:rPr>
              <w:fldChar w:fldCharType="separate"/>
            </w:r>
            <w:r w:rsidR="00BC6CEC">
              <w:rPr>
                <w:noProof/>
                <w:webHidden/>
              </w:rPr>
              <w:t>18</w:t>
            </w:r>
            <w:r w:rsidR="00BC6CEC">
              <w:rPr>
                <w:noProof/>
                <w:webHidden/>
              </w:rPr>
              <w:fldChar w:fldCharType="end"/>
            </w:r>
          </w:hyperlink>
        </w:p>
        <w:p w14:paraId="01DFCBF6" w14:textId="77777777" w:rsidR="00BC6CEC" w:rsidRDefault="004E53D6">
          <w:pPr>
            <w:pStyle w:val="TOC1"/>
            <w:tabs>
              <w:tab w:val="left" w:pos="660"/>
              <w:tab w:val="right" w:leader="dot" w:pos="9622"/>
            </w:tabs>
            <w:rPr>
              <w:rFonts w:asciiTheme="minorHAnsi" w:eastAsiaTheme="minorEastAsia" w:hAnsiTheme="minorHAnsi" w:cstheme="minorBidi"/>
              <w:noProof/>
              <w:szCs w:val="22"/>
              <w:lang w:val="es-NI" w:eastAsia="es-NI"/>
            </w:rPr>
          </w:pPr>
          <w:hyperlink w:anchor="_Toc109287587" w:history="1">
            <w:r w:rsidR="00BC6CEC" w:rsidRPr="00626649">
              <w:rPr>
                <w:rStyle w:val="Hyperlink"/>
                <w:noProof/>
                <w:snapToGrid w:val="0"/>
                <w:lang w:val="es-ES_tradnl" w:eastAsia="es-ES"/>
              </w:rPr>
              <w:t>11.</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Evaluación del desempeño, rotación y rescisión del contrato del auditor</w:t>
            </w:r>
            <w:r w:rsidR="00BC6CEC">
              <w:rPr>
                <w:noProof/>
                <w:webHidden/>
              </w:rPr>
              <w:tab/>
            </w:r>
            <w:r w:rsidR="00BC6CEC">
              <w:rPr>
                <w:noProof/>
                <w:webHidden/>
              </w:rPr>
              <w:fldChar w:fldCharType="begin"/>
            </w:r>
            <w:r w:rsidR="00BC6CEC">
              <w:rPr>
                <w:noProof/>
                <w:webHidden/>
              </w:rPr>
              <w:instrText xml:space="preserve"> PAGEREF _Toc109287587 \h </w:instrText>
            </w:r>
            <w:r w:rsidR="00BC6CEC">
              <w:rPr>
                <w:noProof/>
                <w:webHidden/>
              </w:rPr>
            </w:r>
            <w:r w:rsidR="00BC6CEC">
              <w:rPr>
                <w:noProof/>
                <w:webHidden/>
              </w:rPr>
              <w:fldChar w:fldCharType="separate"/>
            </w:r>
            <w:r w:rsidR="00BC6CEC">
              <w:rPr>
                <w:noProof/>
                <w:webHidden/>
              </w:rPr>
              <w:t>18</w:t>
            </w:r>
            <w:r w:rsidR="00BC6CEC">
              <w:rPr>
                <w:noProof/>
                <w:webHidden/>
              </w:rPr>
              <w:fldChar w:fldCharType="end"/>
            </w:r>
          </w:hyperlink>
        </w:p>
        <w:p w14:paraId="01A05744" w14:textId="77777777" w:rsidR="00BC6CEC" w:rsidRDefault="004E53D6">
          <w:pPr>
            <w:pStyle w:val="TOC1"/>
            <w:tabs>
              <w:tab w:val="left" w:pos="660"/>
              <w:tab w:val="right" w:leader="dot" w:pos="9622"/>
            </w:tabs>
            <w:rPr>
              <w:rFonts w:asciiTheme="minorHAnsi" w:eastAsiaTheme="minorEastAsia" w:hAnsiTheme="minorHAnsi" w:cstheme="minorBidi"/>
              <w:noProof/>
              <w:szCs w:val="22"/>
              <w:lang w:val="es-NI" w:eastAsia="es-NI"/>
            </w:rPr>
          </w:pPr>
          <w:hyperlink w:anchor="_Toc109287588" w:history="1">
            <w:r w:rsidR="00BC6CEC" w:rsidRPr="00626649">
              <w:rPr>
                <w:rStyle w:val="Hyperlink"/>
                <w:noProof/>
                <w:snapToGrid w:val="0"/>
                <w:lang w:val="es-ES_tradnl" w:eastAsia="es-ES"/>
              </w:rPr>
              <w:t>12.</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Información general</w:t>
            </w:r>
            <w:r w:rsidR="00BC6CEC">
              <w:rPr>
                <w:noProof/>
                <w:webHidden/>
              </w:rPr>
              <w:tab/>
            </w:r>
            <w:r w:rsidR="00BC6CEC">
              <w:rPr>
                <w:noProof/>
                <w:webHidden/>
              </w:rPr>
              <w:fldChar w:fldCharType="begin"/>
            </w:r>
            <w:r w:rsidR="00BC6CEC">
              <w:rPr>
                <w:noProof/>
                <w:webHidden/>
              </w:rPr>
              <w:instrText xml:space="preserve"> PAGEREF _Toc109287588 \h </w:instrText>
            </w:r>
            <w:r w:rsidR="00BC6CEC">
              <w:rPr>
                <w:noProof/>
                <w:webHidden/>
              </w:rPr>
            </w:r>
            <w:r w:rsidR="00BC6CEC">
              <w:rPr>
                <w:noProof/>
                <w:webHidden/>
              </w:rPr>
              <w:fldChar w:fldCharType="separate"/>
            </w:r>
            <w:r w:rsidR="00BC6CEC">
              <w:rPr>
                <w:noProof/>
                <w:webHidden/>
              </w:rPr>
              <w:t>19</w:t>
            </w:r>
            <w:r w:rsidR="00BC6CEC">
              <w:rPr>
                <w:noProof/>
                <w:webHidden/>
              </w:rPr>
              <w:fldChar w:fldCharType="end"/>
            </w:r>
          </w:hyperlink>
        </w:p>
        <w:p w14:paraId="7F407656" w14:textId="77777777" w:rsidR="00BC6CEC" w:rsidRDefault="004E53D6">
          <w:pPr>
            <w:pStyle w:val="TOC2"/>
            <w:tabs>
              <w:tab w:val="left" w:pos="880"/>
              <w:tab w:val="right" w:leader="dot" w:pos="9622"/>
            </w:tabs>
            <w:rPr>
              <w:rFonts w:asciiTheme="minorHAnsi" w:eastAsiaTheme="minorEastAsia" w:hAnsiTheme="minorHAnsi" w:cstheme="minorBidi"/>
              <w:noProof/>
              <w:szCs w:val="22"/>
              <w:lang w:val="es-NI" w:eastAsia="es-NI"/>
            </w:rPr>
          </w:pPr>
          <w:hyperlink w:anchor="_Toc109287589" w:history="1">
            <w:r w:rsidR="00BC6CEC" w:rsidRPr="00626649">
              <w:rPr>
                <w:rStyle w:val="Hyperlink"/>
                <w:b/>
                <w:noProof/>
                <w:snapToGrid w:val="0"/>
                <w:lang w:val="es-ES_tradnl" w:eastAsia="es-ES"/>
              </w:rPr>
              <w:t>12.1</w:t>
            </w:r>
            <w:r w:rsidR="00BC6CEC">
              <w:rPr>
                <w:rFonts w:asciiTheme="minorHAnsi" w:eastAsiaTheme="minorEastAsia" w:hAnsiTheme="minorHAnsi" w:cstheme="minorBidi"/>
                <w:noProof/>
                <w:szCs w:val="22"/>
                <w:lang w:val="es-NI" w:eastAsia="es-NI"/>
              </w:rPr>
              <w:tab/>
            </w:r>
            <w:r w:rsidR="00BC6CEC" w:rsidRPr="00626649">
              <w:rPr>
                <w:rStyle w:val="Hyperlink"/>
                <w:b/>
                <w:noProof/>
                <w:snapToGrid w:val="0"/>
                <w:lang w:val="es-ES_tradnl" w:eastAsia="es-ES"/>
              </w:rPr>
              <w:t>Directrices generales para la carta de gestión (M/L)</w:t>
            </w:r>
            <w:r w:rsidR="00BC6CEC">
              <w:rPr>
                <w:noProof/>
                <w:webHidden/>
              </w:rPr>
              <w:tab/>
            </w:r>
            <w:r w:rsidR="00BC6CEC">
              <w:rPr>
                <w:noProof/>
                <w:webHidden/>
              </w:rPr>
              <w:fldChar w:fldCharType="begin"/>
            </w:r>
            <w:r w:rsidR="00BC6CEC">
              <w:rPr>
                <w:noProof/>
                <w:webHidden/>
              </w:rPr>
              <w:instrText xml:space="preserve"> PAGEREF _Toc109287589 \h </w:instrText>
            </w:r>
            <w:r w:rsidR="00BC6CEC">
              <w:rPr>
                <w:noProof/>
                <w:webHidden/>
              </w:rPr>
            </w:r>
            <w:r w:rsidR="00BC6CEC">
              <w:rPr>
                <w:noProof/>
                <w:webHidden/>
              </w:rPr>
              <w:fldChar w:fldCharType="separate"/>
            </w:r>
            <w:r w:rsidR="00BC6CEC">
              <w:rPr>
                <w:noProof/>
                <w:webHidden/>
              </w:rPr>
              <w:t>19</w:t>
            </w:r>
            <w:r w:rsidR="00BC6CEC">
              <w:rPr>
                <w:noProof/>
                <w:webHidden/>
              </w:rPr>
              <w:fldChar w:fldCharType="end"/>
            </w:r>
          </w:hyperlink>
        </w:p>
        <w:p w14:paraId="6708BFA3" w14:textId="77777777" w:rsidR="00BC6CEC" w:rsidRDefault="004E53D6">
          <w:pPr>
            <w:pStyle w:val="TOC1"/>
            <w:tabs>
              <w:tab w:val="left" w:pos="660"/>
              <w:tab w:val="right" w:leader="dot" w:pos="9622"/>
            </w:tabs>
            <w:rPr>
              <w:rFonts w:asciiTheme="minorHAnsi" w:eastAsiaTheme="minorEastAsia" w:hAnsiTheme="minorHAnsi" w:cstheme="minorBidi"/>
              <w:noProof/>
              <w:szCs w:val="22"/>
              <w:lang w:val="es-NI" w:eastAsia="es-NI"/>
            </w:rPr>
          </w:pPr>
          <w:hyperlink w:anchor="_Toc109287590" w:history="1">
            <w:r w:rsidR="00BC6CEC" w:rsidRPr="00626649">
              <w:rPr>
                <w:rStyle w:val="Hyperlink"/>
                <w:noProof/>
                <w:snapToGrid w:val="0"/>
                <w:lang w:val="es-ES_tradnl" w:eastAsia="es-ES"/>
              </w:rPr>
              <w:t>13.</w:t>
            </w:r>
            <w:r w:rsidR="00BC6CEC">
              <w:rPr>
                <w:rFonts w:asciiTheme="minorHAnsi" w:eastAsiaTheme="minorEastAsia" w:hAnsiTheme="minorHAnsi" w:cstheme="minorBidi"/>
                <w:noProof/>
                <w:szCs w:val="22"/>
                <w:lang w:val="es-NI" w:eastAsia="es-NI"/>
              </w:rPr>
              <w:tab/>
            </w:r>
            <w:r w:rsidR="00BC6CEC" w:rsidRPr="00626649">
              <w:rPr>
                <w:rStyle w:val="Hyperlink"/>
                <w:noProof/>
                <w:snapToGrid w:val="0"/>
                <w:lang w:val="es-ES_tradnl" w:eastAsia="es-ES"/>
              </w:rPr>
              <w:t>Directrices generales para la carta de gestión.</w:t>
            </w:r>
            <w:r w:rsidR="00BC6CEC">
              <w:rPr>
                <w:noProof/>
                <w:webHidden/>
              </w:rPr>
              <w:tab/>
            </w:r>
            <w:r w:rsidR="00BC6CEC">
              <w:rPr>
                <w:noProof/>
                <w:webHidden/>
              </w:rPr>
              <w:fldChar w:fldCharType="begin"/>
            </w:r>
            <w:r w:rsidR="00BC6CEC">
              <w:rPr>
                <w:noProof/>
                <w:webHidden/>
              </w:rPr>
              <w:instrText xml:space="preserve"> PAGEREF _Toc109287590 \h </w:instrText>
            </w:r>
            <w:r w:rsidR="00BC6CEC">
              <w:rPr>
                <w:noProof/>
                <w:webHidden/>
              </w:rPr>
            </w:r>
            <w:r w:rsidR="00BC6CEC">
              <w:rPr>
                <w:noProof/>
                <w:webHidden/>
              </w:rPr>
              <w:fldChar w:fldCharType="separate"/>
            </w:r>
            <w:r w:rsidR="00BC6CEC">
              <w:rPr>
                <w:noProof/>
                <w:webHidden/>
              </w:rPr>
              <w:t>25</w:t>
            </w:r>
            <w:r w:rsidR="00BC6CEC">
              <w:rPr>
                <w:noProof/>
                <w:webHidden/>
              </w:rPr>
              <w:fldChar w:fldCharType="end"/>
            </w:r>
          </w:hyperlink>
        </w:p>
        <w:p w14:paraId="55ACCDB8" w14:textId="77777777" w:rsidR="00762014" w:rsidRDefault="00762014">
          <w:r w:rsidRPr="00915460">
            <w:rPr>
              <w:b/>
              <w:bCs/>
              <w:noProof/>
            </w:rPr>
            <w:fldChar w:fldCharType="end"/>
          </w:r>
        </w:p>
      </w:sdtContent>
    </w:sdt>
    <w:p w14:paraId="615CEF32" w14:textId="77777777" w:rsidR="00762014" w:rsidRDefault="00762014" w:rsidP="004345C1">
      <w:pPr>
        <w:spacing w:before="120" w:after="120"/>
        <w:ind w:left="360" w:right="576"/>
        <w:jc w:val="center"/>
        <w:rPr>
          <w:b/>
          <w:bCs/>
          <w:szCs w:val="22"/>
          <w:lang w:val="es-ES" w:eastAsia="en-GB"/>
        </w:rPr>
      </w:pPr>
    </w:p>
    <w:p w14:paraId="45514BD2" w14:textId="77777777" w:rsidR="00762014" w:rsidRDefault="00762014" w:rsidP="004345C1">
      <w:pPr>
        <w:spacing w:before="120" w:after="120"/>
        <w:ind w:left="360" w:right="576"/>
        <w:jc w:val="center"/>
        <w:rPr>
          <w:b/>
          <w:bCs/>
          <w:szCs w:val="22"/>
          <w:lang w:val="es-ES" w:eastAsia="en-GB"/>
        </w:rPr>
      </w:pPr>
    </w:p>
    <w:p w14:paraId="5AD69E64" w14:textId="77777777" w:rsidR="00762014" w:rsidRDefault="00762014" w:rsidP="004345C1">
      <w:pPr>
        <w:spacing w:before="120" w:after="120"/>
        <w:ind w:left="360" w:right="576"/>
        <w:jc w:val="center"/>
        <w:rPr>
          <w:b/>
          <w:bCs/>
          <w:szCs w:val="22"/>
          <w:lang w:val="es-ES" w:eastAsia="en-GB"/>
        </w:rPr>
        <w:sectPr w:rsidR="00762014" w:rsidSect="00252373">
          <w:headerReference w:type="default" r:id="rId15"/>
          <w:footerReference w:type="default" r:id="rId16"/>
          <w:headerReference w:type="first" r:id="rId17"/>
          <w:footerReference w:type="first" r:id="rId18"/>
          <w:pgSz w:w="11900" w:h="16840"/>
          <w:pgMar w:top="567" w:right="1134" w:bottom="993" w:left="1134" w:header="851" w:footer="851" w:gutter="0"/>
          <w:pgNumType w:fmt="lowerRoman" w:start="1"/>
          <w:cols w:space="720"/>
          <w:docGrid w:linePitch="360"/>
        </w:sectPr>
      </w:pPr>
    </w:p>
    <w:p w14:paraId="768739C4" w14:textId="77777777" w:rsidR="00F53AB7" w:rsidRPr="00FF77AB" w:rsidRDefault="004B5B1B" w:rsidP="004345C1">
      <w:pPr>
        <w:spacing w:before="120" w:after="120"/>
        <w:ind w:left="360" w:right="576"/>
        <w:jc w:val="center"/>
        <w:rPr>
          <w:b/>
          <w:bCs/>
          <w:sz w:val="24"/>
          <w:szCs w:val="22"/>
          <w:lang w:val="es-ES" w:eastAsia="en-GB"/>
        </w:rPr>
      </w:pPr>
      <w:r w:rsidRPr="00FF77AB">
        <w:rPr>
          <w:b/>
          <w:bCs/>
          <w:sz w:val="24"/>
          <w:szCs w:val="22"/>
          <w:lang w:val="es-ES" w:eastAsia="en-GB"/>
        </w:rPr>
        <w:lastRenderedPageBreak/>
        <w:t>Términos de referencia</w:t>
      </w:r>
    </w:p>
    <w:p w14:paraId="3CC0136F" w14:textId="77777777" w:rsidR="00E14DE2" w:rsidRPr="009E7948" w:rsidRDefault="004B5B1B" w:rsidP="009E7948">
      <w:pPr>
        <w:pStyle w:val="Heading1"/>
        <w:numPr>
          <w:ilvl w:val="0"/>
          <w:numId w:val="39"/>
        </w:numPr>
        <w:rPr>
          <w:snapToGrid w:val="0"/>
          <w:color w:val="auto"/>
          <w:lang w:val="es-ES_tradnl" w:eastAsia="es-ES"/>
        </w:rPr>
      </w:pPr>
      <w:bookmarkStart w:id="3" w:name="_Toc109287554"/>
      <w:r w:rsidRPr="009E7948">
        <w:rPr>
          <w:snapToGrid w:val="0"/>
          <w:color w:val="auto"/>
          <w:lang w:val="es-ES_tradnl" w:eastAsia="es-ES"/>
        </w:rPr>
        <w:t xml:space="preserve">Antecedentes </w:t>
      </w:r>
      <w:r w:rsidR="00E14DE2" w:rsidRPr="009E7948">
        <w:rPr>
          <w:snapToGrid w:val="0"/>
          <w:color w:val="auto"/>
          <w:lang w:val="es-ES_tradnl" w:eastAsia="es-ES"/>
        </w:rPr>
        <w:t>del programa, estructura de la auditoría y descripción de las entidades.</w:t>
      </w:r>
      <w:bookmarkEnd w:id="3"/>
    </w:p>
    <w:p w14:paraId="2FB64D49" w14:textId="77777777" w:rsidR="00E14DE2" w:rsidRPr="00D16DDF" w:rsidRDefault="00E14DE2" w:rsidP="00E14DE2">
      <w:pPr>
        <w:pStyle w:val="ListParagraph"/>
        <w:ind w:left="720"/>
        <w:rPr>
          <w:rFonts w:cs="Arial"/>
          <w:b/>
          <w:snapToGrid w:val="0"/>
          <w:lang w:val="es-ES_tradnl" w:eastAsia="es-ES"/>
        </w:rPr>
      </w:pPr>
    </w:p>
    <w:p w14:paraId="7FBFB9B0" w14:textId="77777777" w:rsidR="00BE6AB2" w:rsidRPr="009E7948" w:rsidRDefault="00E14DE2" w:rsidP="009E7948">
      <w:pPr>
        <w:pStyle w:val="Heading2"/>
        <w:numPr>
          <w:ilvl w:val="1"/>
          <w:numId w:val="39"/>
        </w:numPr>
        <w:rPr>
          <w:b/>
          <w:snapToGrid w:val="0"/>
          <w:color w:val="auto"/>
          <w:lang w:val="es-ES_tradnl" w:eastAsia="es-ES"/>
        </w:rPr>
      </w:pPr>
      <w:bookmarkStart w:id="4" w:name="_Toc109287555"/>
      <w:r w:rsidRPr="009E7948">
        <w:rPr>
          <w:b/>
          <w:snapToGrid w:val="0"/>
          <w:color w:val="auto"/>
          <w:lang w:val="es-ES_tradnl" w:eastAsia="es-ES"/>
        </w:rPr>
        <w:t>Antecedentes del Programa</w:t>
      </w:r>
      <w:bookmarkEnd w:id="4"/>
    </w:p>
    <w:p w14:paraId="7943A2C6" w14:textId="77777777" w:rsidR="009E7948" w:rsidRPr="009E7948" w:rsidRDefault="009E7948" w:rsidP="009E7948">
      <w:pPr>
        <w:pStyle w:val="ListParagraph"/>
        <w:ind w:left="1080"/>
        <w:rPr>
          <w:lang w:val="es-ES_tradnl" w:eastAsia="es-ES"/>
        </w:rPr>
      </w:pPr>
    </w:p>
    <w:p w14:paraId="32C8804A" w14:textId="746CBA39" w:rsidR="0021697E" w:rsidRPr="00762014" w:rsidRDefault="00585131" w:rsidP="00762014">
      <w:pPr>
        <w:widowControl w:val="0"/>
        <w:spacing w:after="120"/>
        <w:ind w:right="-23"/>
        <w:jc w:val="both"/>
        <w:rPr>
          <w:snapToGrid w:val="0"/>
          <w:sz w:val="24"/>
          <w:szCs w:val="22"/>
          <w:lang w:val="es-NI" w:eastAsia="en-US"/>
        </w:rPr>
      </w:pPr>
      <w:r w:rsidRPr="00762014">
        <w:rPr>
          <w:snapToGrid w:val="0"/>
          <w:sz w:val="24"/>
          <w:szCs w:val="22"/>
          <w:lang w:val="es-ES_tradnl" w:eastAsia="es-ES"/>
        </w:rPr>
        <w:t xml:space="preserve">La Federación Red NicaSalud </w:t>
      </w:r>
      <w:r w:rsidRPr="00762014">
        <w:rPr>
          <w:snapToGrid w:val="0"/>
          <w:sz w:val="24"/>
          <w:szCs w:val="22"/>
          <w:lang w:val="es-NI" w:eastAsia="en-US"/>
        </w:rPr>
        <w:t xml:space="preserve">es </w:t>
      </w:r>
      <w:r w:rsidR="0021697E" w:rsidRPr="00762014">
        <w:rPr>
          <w:snapToGrid w:val="0"/>
          <w:sz w:val="24"/>
          <w:szCs w:val="22"/>
          <w:lang w:val="es-NI" w:eastAsia="en-US"/>
        </w:rPr>
        <w:t xml:space="preserve">una asociación de </w:t>
      </w:r>
      <w:r w:rsidR="008137D1">
        <w:rPr>
          <w:snapToGrid w:val="0"/>
          <w:sz w:val="24"/>
          <w:szCs w:val="22"/>
          <w:lang w:val="es-NI" w:eastAsia="en-US"/>
        </w:rPr>
        <w:t xml:space="preserve">organizaciones </w:t>
      </w:r>
      <w:r w:rsidRPr="00762014">
        <w:rPr>
          <w:snapToGrid w:val="0"/>
          <w:sz w:val="24"/>
          <w:szCs w:val="22"/>
          <w:lang w:val="es-NI" w:eastAsia="en-US"/>
        </w:rPr>
        <w:t xml:space="preserve">nacionales e internacionales sin fines de lucro </w:t>
      </w:r>
      <w:r w:rsidR="007C62ED" w:rsidRPr="008137D1">
        <w:rPr>
          <w:snapToGrid w:val="0"/>
          <w:sz w:val="24"/>
          <w:szCs w:val="22"/>
          <w:lang w:val="es-NI" w:eastAsia="en-US"/>
        </w:rPr>
        <w:t>(OSFL)</w:t>
      </w:r>
      <w:r w:rsidR="007C62ED">
        <w:rPr>
          <w:snapToGrid w:val="0"/>
          <w:sz w:val="24"/>
          <w:szCs w:val="22"/>
          <w:lang w:val="es-NI" w:eastAsia="en-US"/>
        </w:rPr>
        <w:t xml:space="preserve"> </w:t>
      </w:r>
      <w:r w:rsidRPr="00762014">
        <w:rPr>
          <w:snapToGrid w:val="0"/>
          <w:sz w:val="24"/>
          <w:szCs w:val="22"/>
          <w:lang w:val="es-NI" w:eastAsia="en-US"/>
        </w:rPr>
        <w:t xml:space="preserve">que integra una de las redes privadas de salud de mayor cobertura en el país, que trabaja para mejorar el acceso de los sectores sociales más vulnerables, a la atención en salud y la calidad de la misma, en las áreas rurales de Nicaragua. </w:t>
      </w:r>
    </w:p>
    <w:p w14:paraId="50EE622F" w14:textId="77777777" w:rsidR="0021697E" w:rsidRPr="00762014" w:rsidRDefault="0021697E" w:rsidP="00762014">
      <w:pPr>
        <w:widowControl w:val="0"/>
        <w:spacing w:after="120"/>
        <w:ind w:right="-23"/>
        <w:jc w:val="both"/>
        <w:rPr>
          <w:snapToGrid w:val="0"/>
          <w:sz w:val="24"/>
          <w:szCs w:val="22"/>
          <w:lang w:val="es-ES_tradnl" w:eastAsia="es-ES"/>
        </w:rPr>
      </w:pPr>
      <w:r w:rsidRPr="00762014">
        <w:rPr>
          <w:snapToGrid w:val="0"/>
          <w:sz w:val="24"/>
          <w:szCs w:val="22"/>
          <w:lang w:val="es-ES_tradnl" w:eastAsia="es-ES"/>
        </w:rPr>
        <w:t xml:space="preserve">La Federación Red NicaSalud cuenta con personería jurídica publicada en el Diario Oficial, La Gaceta No. 222 del 22 de </w:t>
      </w:r>
      <w:r w:rsidR="00391840" w:rsidRPr="00762014">
        <w:rPr>
          <w:snapToGrid w:val="0"/>
          <w:sz w:val="24"/>
          <w:szCs w:val="22"/>
          <w:lang w:val="es-ES_tradnl" w:eastAsia="es-ES"/>
        </w:rPr>
        <w:t>noviembre</w:t>
      </w:r>
      <w:r w:rsidRPr="00762014">
        <w:rPr>
          <w:snapToGrid w:val="0"/>
          <w:sz w:val="24"/>
          <w:szCs w:val="22"/>
          <w:lang w:val="es-ES_tradnl" w:eastAsia="es-ES"/>
        </w:rPr>
        <w:t xml:space="preserve"> del 2001. Sus Estatutos fueron publicados el 16 de </w:t>
      </w:r>
      <w:r w:rsidR="00391840" w:rsidRPr="00762014">
        <w:rPr>
          <w:snapToGrid w:val="0"/>
          <w:sz w:val="24"/>
          <w:szCs w:val="22"/>
          <w:lang w:val="es-ES_tradnl" w:eastAsia="es-ES"/>
        </w:rPr>
        <w:t>junio</w:t>
      </w:r>
      <w:r w:rsidRPr="00762014">
        <w:rPr>
          <w:snapToGrid w:val="0"/>
          <w:sz w:val="24"/>
          <w:szCs w:val="22"/>
          <w:lang w:val="es-ES_tradnl" w:eastAsia="es-ES"/>
        </w:rPr>
        <w:t xml:space="preserve"> de 2002 en la Gaceta No. 82 </w:t>
      </w:r>
      <w:r w:rsidR="00391840" w:rsidRPr="00762014">
        <w:rPr>
          <w:snapToGrid w:val="0"/>
          <w:sz w:val="24"/>
          <w:szCs w:val="22"/>
          <w:lang w:val="es-ES_tradnl" w:eastAsia="es-ES"/>
        </w:rPr>
        <w:t>y está</w:t>
      </w:r>
      <w:r w:rsidRPr="00762014">
        <w:rPr>
          <w:snapToGrid w:val="0"/>
          <w:sz w:val="24"/>
          <w:szCs w:val="22"/>
          <w:lang w:val="es-ES_tradnl" w:eastAsia="es-ES"/>
        </w:rPr>
        <w:t xml:space="preserve"> registrada en el Departamento de Registro y Control de Asociaciones del Ministerio de Gobernación bajo el número perpetuo 2134.</w:t>
      </w:r>
      <w:r w:rsidRPr="00762014">
        <w:rPr>
          <w:snapToGrid w:val="0"/>
          <w:sz w:val="24"/>
          <w:szCs w:val="22"/>
          <w:lang w:val="es-ES_tradnl" w:eastAsia="es-ES"/>
        </w:rPr>
        <w:tab/>
      </w:r>
    </w:p>
    <w:p w14:paraId="643993F7" w14:textId="20D2FEE9" w:rsidR="00585131" w:rsidRPr="00762014" w:rsidRDefault="00585131" w:rsidP="00762014">
      <w:pPr>
        <w:widowControl w:val="0"/>
        <w:spacing w:after="120"/>
        <w:jc w:val="both"/>
        <w:rPr>
          <w:snapToGrid w:val="0"/>
          <w:sz w:val="24"/>
          <w:szCs w:val="22"/>
          <w:lang w:val="es-ES_tradnl" w:eastAsia="es-ES"/>
        </w:rPr>
      </w:pPr>
      <w:r w:rsidRPr="00815F3E">
        <w:rPr>
          <w:snapToGrid w:val="0"/>
          <w:sz w:val="24"/>
          <w:szCs w:val="22"/>
          <w:lang w:val="es-ES_tradnl" w:eastAsia="es-ES"/>
        </w:rPr>
        <w:t>Actualmente su ofic</w:t>
      </w:r>
      <w:r w:rsidR="000C5A68" w:rsidRPr="00815F3E">
        <w:rPr>
          <w:snapToGrid w:val="0"/>
          <w:sz w:val="24"/>
          <w:szCs w:val="22"/>
          <w:lang w:val="es-ES_tradnl" w:eastAsia="es-ES"/>
        </w:rPr>
        <w:t xml:space="preserve">ina técnica </w:t>
      </w:r>
      <w:r w:rsidR="00DB22E7" w:rsidRPr="00815F3E">
        <w:rPr>
          <w:snapToGrid w:val="0"/>
          <w:sz w:val="24"/>
          <w:szCs w:val="22"/>
          <w:lang w:val="es-ES_tradnl" w:eastAsia="es-ES"/>
        </w:rPr>
        <w:t>está ubicada</w:t>
      </w:r>
      <w:r w:rsidR="000C5A68" w:rsidRPr="00815F3E">
        <w:rPr>
          <w:snapToGrid w:val="0"/>
          <w:sz w:val="24"/>
          <w:szCs w:val="22"/>
          <w:lang w:val="es-ES_tradnl" w:eastAsia="es-ES"/>
        </w:rPr>
        <w:t xml:space="preserve"> en la siguiente dirección</w:t>
      </w:r>
      <w:r w:rsidR="000608EF" w:rsidRPr="002A3243">
        <w:rPr>
          <w:snapToGrid w:val="0"/>
          <w:sz w:val="24"/>
          <w:szCs w:val="22"/>
          <w:lang w:val="es-ES_tradnl" w:eastAsia="es-ES"/>
        </w:rPr>
        <w:t xml:space="preserve">: </w:t>
      </w:r>
      <w:r w:rsidR="00815F3E" w:rsidRPr="00432D02">
        <w:rPr>
          <w:lang w:val="es-NI"/>
        </w:rPr>
        <w:t xml:space="preserve">Reparto Villa Fontana Norte de esta ciudad, de la Rotonda Omar Torrijos, una cuadra al Sur, media cuadra al </w:t>
      </w:r>
      <w:r w:rsidR="008137D1" w:rsidRPr="00432D02">
        <w:rPr>
          <w:lang w:val="es-NI"/>
        </w:rPr>
        <w:t>Oeste y</w:t>
      </w:r>
      <w:r w:rsidR="00815F3E" w:rsidRPr="00432D02">
        <w:rPr>
          <w:lang w:val="es-NI"/>
        </w:rPr>
        <w:t xml:space="preserve"> se identifica con el Número 47.</w:t>
      </w:r>
      <w:r w:rsidR="000608EF" w:rsidRPr="00A67232">
        <w:rPr>
          <w:snapToGrid w:val="0"/>
          <w:sz w:val="24"/>
          <w:szCs w:val="22"/>
          <w:lang w:val="es-ES_tradnl" w:eastAsia="es-ES"/>
        </w:rPr>
        <w:t xml:space="preserve"> El número de </w:t>
      </w:r>
      <w:r w:rsidR="00DB22E7" w:rsidRPr="00A67232">
        <w:rPr>
          <w:snapToGrid w:val="0"/>
          <w:sz w:val="24"/>
          <w:szCs w:val="22"/>
          <w:lang w:val="es-ES_tradnl" w:eastAsia="es-ES"/>
        </w:rPr>
        <w:t>teléfono: 2270-0099, 22708</w:t>
      </w:r>
      <w:r w:rsidR="00A37217" w:rsidRPr="00A67232">
        <w:rPr>
          <w:snapToGrid w:val="0"/>
          <w:sz w:val="24"/>
          <w:szCs w:val="22"/>
          <w:lang w:val="es-ES_tradnl" w:eastAsia="es-ES"/>
        </w:rPr>
        <w:t>53</w:t>
      </w:r>
      <w:r w:rsidR="00DB22E7" w:rsidRPr="00A67232">
        <w:rPr>
          <w:snapToGrid w:val="0"/>
          <w:sz w:val="24"/>
          <w:szCs w:val="22"/>
          <w:lang w:val="es-ES_tradnl" w:eastAsia="es-ES"/>
        </w:rPr>
        <w:t>5.</w:t>
      </w:r>
      <w:r w:rsidR="000608EF" w:rsidRPr="00A67232">
        <w:rPr>
          <w:snapToGrid w:val="0"/>
          <w:sz w:val="24"/>
          <w:szCs w:val="22"/>
          <w:lang w:val="es-ES_tradnl" w:eastAsia="es-ES"/>
        </w:rPr>
        <w:t xml:space="preserve"> Sitio </w:t>
      </w:r>
      <w:r w:rsidRPr="00A67232">
        <w:rPr>
          <w:snapToGrid w:val="0"/>
          <w:sz w:val="24"/>
          <w:szCs w:val="22"/>
          <w:lang w:val="es-ES_tradnl" w:eastAsia="es-ES"/>
        </w:rPr>
        <w:t xml:space="preserve">web </w:t>
      </w:r>
      <w:hyperlink r:id="rId19" w:history="1">
        <w:r w:rsidRPr="00A67232">
          <w:rPr>
            <w:snapToGrid w:val="0"/>
            <w:color w:val="0000FF"/>
            <w:sz w:val="24"/>
            <w:szCs w:val="22"/>
            <w:u w:val="single"/>
            <w:lang w:val="es-ES_tradnl" w:eastAsia="es-ES"/>
          </w:rPr>
          <w:t>www.nicasalud.org.ni</w:t>
        </w:r>
      </w:hyperlink>
      <w:r w:rsidRPr="00A67232">
        <w:rPr>
          <w:snapToGrid w:val="0"/>
          <w:sz w:val="24"/>
          <w:szCs w:val="22"/>
          <w:lang w:val="es-ES_tradnl" w:eastAsia="es-ES"/>
        </w:rPr>
        <w:t xml:space="preserve"> con dirección electrónica </w:t>
      </w:r>
      <w:hyperlink r:id="rId20" w:history="1">
        <w:r w:rsidRPr="00A67232">
          <w:rPr>
            <w:snapToGrid w:val="0"/>
            <w:color w:val="0000FF"/>
            <w:sz w:val="24"/>
            <w:szCs w:val="22"/>
            <w:u w:val="single"/>
            <w:lang w:val="es-ES_tradnl" w:eastAsia="es-ES"/>
          </w:rPr>
          <w:t>nsalud@nicasalud.org.ni</w:t>
        </w:r>
      </w:hyperlink>
      <w:r w:rsidR="000608EF" w:rsidRPr="00A67232">
        <w:rPr>
          <w:snapToGrid w:val="0"/>
          <w:sz w:val="24"/>
          <w:szCs w:val="22"/>
          <w:lang w:val="es-ES_tradnl" w:eastAsia="es-ES"/>
        </w:rPr>
        <w:t>.</w:t>
      </w:r>
      <w:r w:rsidRPr="00762014">
        <w:rPr>
          <w:snapToGrid w:val="0"/>
          <w:sz w:val="24"/>
          <w:szCs w:val="22"/>
          <w:lang w:val="es-ES_tradnl" w:eastAsia="es-ES"/>
        </w:rPr>
        <w:t xml:space="preserve"> </w:t>
      </w:r>
      <w:r w:rsidR="000608EF" w:rsidRPr="00762014">
        <w:rPr>
          <w:snapToGrid w:val="0"/>
          <w:sz w:val="24"/>
          <w:szCs w:val="22"/>
          <w:lang w:val="es-ES_tradnl" w:eastAsia="es-ES"/>
        </w:rPr>
        <w:t xml:space="preserve">En este </w:t>
      </w:r>
      <w:r w:rsidRPr="00762014">
        <w:rPr>
          <w:snapToGrid w:val="0"/>
          <w:sz w:val="24"/>
          <w:szCs w:val="22"/>
          <w:lang w:val="es-ES_tradnl" w:eastAsia="es-ES"/>
        </w:rPr>
        <w:t>local se realizar</w:t>
      </w:r>
      <w:r w:rsidR="00D261D1" w:rsidRPr="00762014">
        <w:rPr>
          <w:snapToGrid w:val="0"/>
          <w:sz w:val="24"/>
          <w:szCs w:val="22"/>
          <w:lang w:val="es-ES_tradnl" w:eastAsia="es-ES"/>
        </w:rPr>
        <w:t>á</w:t>
      </w:r>
      <w:r w:rsidRPr="00762014">
        <w:rPr>
          <w:snapToGrid w:val="0"/>
          <w:sz w:val="24"/>
          <w:szCs w:val="22"/>
          <w:lang w:val="es-ES_tradnl" w:eastAsia="es-ES"/>
        </w:rPr>
        <w:t xml:space="preserve"> la </w:t>
      </w:r>
      <w:r w:rsidR="00976234" w:rsidRPr="00762014">
        <w:rPr>
          <w:snapToGrid w:val="0"/>
          <w:sz w:val="24"/>
          <w:szCs w:val="22"/>
          <w:lang w:val="es-ES_tradnl" w:eastAsia="es-ES"/>
        </w:rPr>
        <w:t>auditoría</w:t>
      </w:r>
      <w:r w:rsidRPr="00762014">
        <w:rPr>
          <w:snapToGrid w:val="0"/>
          <w:sz w:val="24"/>
          <w:szCs w:val="22"/>
          <w:lang w:val="es-ES_tradnl" w:eastAsia="es-ES"/>
        </w:rPr>
        <w:t>.</w:t>
      </w:r>
    </w:p>
    <w:p w14:paraId="0FEE6458" w14:textId="540FBDF7" w:rsidR="00585131" w:rsidRPr="00762014" w:rsidRDefault="00585131" w:rsidP="00762014">
      <w:pPr>
        <w:widowControl w:val="0"/>
        <w:spacing w:after="120"/>
        <w:jc w:val="both"/>
        <w:rPr>
          <w:snapToGrid w:val="0"/>
          <w:color w:val="000000"/>
          <w:sz w:val="24"/>
          <w:szCs w:val="22"/>
          <w:lang w:val="es-ES" w:eastAsia="es-ES"/>
        </w:rPr>
      </w:pPr>
      <w:r w:rsidRPr="00762014">
        <w:rPr>
          <w:snapToGrid w:val="0"/>
          <w:color w:val="000000"/>
          <w:sz w:val="24"/>
          <w:szCs w:val="22"/>
          <w:lang w:val="es-ES" w:eastAsia="es-ES"/>
        </w:rPr>
        <w:t xml:space="preserve">La Federación Red NicaSalud </w:t>
      </w:r>
      <w:r w:rsidR="000608EF" w:rsidRPr="00762014">
        <w:rPr>
          <w:snapToGrid w:val="0"/>
          <w:color w:val="000000"/>
          <w:sz w:val="24"/>
          <w:szCs w:val="22"/>
          <w:lang w:val="es-ES" w:eastAsia="es-ES"/>
        </w:rPr>
        <w:t>es</w:t>
      </w:r>
      <w:r w:rsidRPr="00762014">
        <w:rPr>
          <w:snapToGrid w:val="0"/>
          <w:color w:val="000000"/>
          <w:sz w:val="24"/>
          <w:szCs w:val="22"/>
          <w:lang w:val="es-ES" w:eastAsia="es-ES"/>
        </w:rPr>
        <w:t xml:space="preserve"> </w:t>
      </w:r>
      <w:r w:rsidR="000608EF" w:rsidRPr="00762014">
        <w:rPr>
          <w:snapToGrid w:val="0"/>
          <w:color w:val="000000"/>
          <w:sz w:val="24"/>
          <w:szCs w:val="22"/>
          <w:lang w:val="es-ES" w:eastAsia="es-ES"/>
        </w:rPr>
        <w:t xml:space="preserve">el </w:t>
      </w:r>
      <w:r w:rsidRPr="00762014">
        <w:rPr>
          <w:snapToGrid w:val="0"/>
          <w:color w:val="000000"/>
          <w:sz w:val="24"/>
          <w:szCs w:val="22"/>
          <w:lang w:val="es-ES" w:eastAsia="es-ES"/>
        </w:rPr>
        <w:t xml:space="preserve">Receptor Principal para </w:t>
      </w:r>
      <w:r w:rsidR="0087181F" w:rsidRPr="00762014">
        <w:rPr>
          <w:snapToGrid w:val="0"/>
          <w:color w:val="000000"/>
          <w:sz w:val="24"/>
          <w:szCs w:val="22"/>
          <w:lang w:val="es-ES" w:eastAsia="es-ES"/>
        </w:rPr>
        <w:t>la administración</w:t>
      </w:r>
      <w:r w:rsidRPr="00762014">
        <w:rPr>
          <w:snapToGrid w:val="0"/>
          <w:color w:val="000000"/>
          <w:sz w:val="24"/>
          <w:szCs w:val="22"/>
          <w:lang w:val="es-ES" w:eastAsia="es-ES"/>
        </w:rPr>
        <w:t xml:space="preserve"> de fondos de</w:t>
      </w:r>
      <w:r w:rsidR="000608EF" w:rsidRPr="00762014">
        <w:rPr>
          <w:snapToGrid w:val="0"/>
          <w:color w:val="000000"/>
          <w:sz w:val="24"/>
          <w:szCs w:val="22"/>
          <w:lang w:val="es-ES" w:eastAsia="es-ES"/>
        </w:rPr>
        <w:t xml:space="preserve"> </w:t>
      </w:r>
      <w:r w:rsidRPr="00762014">
        <w:rPr>
          <w:snapToGrid w:val="0"/>
          <w:color w:val="000000"/>
          <w:sz w:val="24"/>
          <w:szCs w:val="22"/>
          <w:lang w:val="es-ES" w:eastAsia="es-ES"/>
        </w:rPr>
        <w:t>l</w:t>
      </w:r>
      <w:r w:rsidR="000608EF" w:rsidRPr="00762014">
        <w:rPr>
          <w:snapToGrid w:val="0"/>
          <w:color w:val="000000"/>
          <w:sz w:val="24"/>
          <w:szCs w:val="22"/>
          <w:lang w:val="es-ES" w:eastAsia="es-ES"/>
        </w:rPr>
        <w:t>a subvención</w:t>
      </w:r>
      <w:r w:rsidRPr="00762014">
        <w:rPr>
          <w:snapToGrid w:val="0"/>
          <w:color w:val="000000"/>
          <w:sz w:val="24"/>
          <w:szCs w:val="22"/>
          <w:lang w:val="es-ES" w:eastAsia="es-ES"/>
        </w:rPr>
        <w:t xml:space="preserve"> </w:t>
      </w:r>
      <w:r w:rsidR="00BC7DF5" w:rsidRPr="001E2EEB">
        <w:rPr>
          <w:b/>
          <w:bCs/>
          <w:sz w:val="24"/>
          <w:szCs w:val="20"/>
          <w:lang w:val="es-ES" w:eastAsia="en-GB"/>
        </w:rPr>
        <w:t>“</w:t>
      </w:r>
      <w:r w:rsidR="001E2EEB" w:rsidRPr="001E2EEB">
        <w:rPr>
          <w:rFonts w:ascii="Arial" w:hAnsi="Arial" w:cs="Arial"/>
          <w:b/>
          <w:bCs/>
          <w:i/>
          <w:sz w:val="24"/>
          <w:lang w:val="es-ES"/>
        </w:rPr>
        <w:t>Nicaragua, sosteniendo los logros y consolidando acciones enfocadas a la pre-eliminación de la malaria</w:t>
      </w:r>
      <w:r w:rsidR="001E2EEB" w:rsidRPr="001E2EEB">
        <w:rPr>
          <w:rFonts w:ascii="Arial" w:hAnsi="Arial" w:cs="Arial"/>
          <w:b/>
          <w:bCs/>
          <w:sz w:val="24"/>
          <w:lang w:val="es-ES"/>
        </w:rPr>
        <w:t>” –  NC 2022-2024</w:t>
      </w:r>
      <w:r w:rsidR="001E2EEB" w:rsidRPr="001E2EEB">
        <w:rPr>
          <w:rFonts w:ascii="Arial" w:hAnsi="Arial" w:cs="Arial"/>
          <w:sz w:val="24"/>
          <w:lang w:val="es-ES"/>
        </w:rPr>
        <w:t>,</w:t>
      </w:r>
      <w:r w:rsidRPr="00762014">
        <w:rPr>
          <w:bCs/>
          <w:snapToGrid w:val="0"/>
          <w:color w:val="000000"/>
          <w:sz w:val="24"/>
          <w:szCs w:val="22"/>
          <w:lang w:val="es-ES" w:eastAsia="es-ES"/>
        </w:rPr>
        <w:t xml:space="preserve"> </w:t>
      </w:r>
      <w:r w:rsidR="000608EF" w:rsidRPr="00762014">
        <w:rPr>
          <w:bCs/>
          <w:snapToGrid w:val="0"/>
          <w:color w:val="000000"/>
          <w:sz w:val="24"/>
          <w:szCs w:val="22"/>
          <w:lang w:val="es-ES" w:eastAsia="es-ES"/>
        </w:rPr>
        <w:t xml:space="preserve">la cual </w:t>
      </w:r>
      <w:r w:rsidRPr="00762014">
        <w:rPr>
          <w:snapToGrid w:val="0"/>
          <w:color w:val="000000"/>
          <w:sz w:val="24"/>
          <w:szCs w:val="22"/>
          <w:lang w:val="es-ES" w:eastAsia="es-ES"/>
        </w:rPr>
        <w:t xml:space="preserve">ha sido aprobada para </w:t>
      </w:r>
      <w:r w:rsidR="000608EF" w:rsidRPr="00762014">
        <w:rPr>
          <w:snapToGrid w:val="0"/>
          <w:color w:val="000000"/>
          <w:sz w:val="24"/>
          <w:szCs w:val="22"/>
          <w:lang w:val="es-ES" w:eastAsia="es-ES"/>
        </w:rPr>
        <w:t xml:space="preserve">el </w:t>
      </w:r>
      <w:r w:rsidR="00BF2842" w:rsidRPr="00762014">
        <w:rPr>
          <w:snapToGrid w:val="0"/>
          <w:sz w:val="24"/>
          <w:szCs w:val="22"/>
          <w:lang w:val="es-ES" w:eastAsia="es-ES"/>
        </w:rPr>
        <w:t>período del 1 de enero 20</w:t>
      </w:r>
      <w:r w:rsidR="00A67C8D">
        <w:rPr>
          <w:snapToGrid w:val="0"/>
          <w:sz w:val="24"/>
          <w:szCs w:val="22"/>
          <w:lang w:val="es-ES" w:eastAsia="es-ES"/>
        </w:rPr>
        <w:t>22</w:t>
      </w:r>
      <w:r w:rsidR="00BF2842" w:rsidRPr="00762014">
        <w:rPr>
          <w:snapToGrid w:val="0"/>
          <w:sz w:val="24"/>
          <w:szCs w:val="22"/>
          <w:lang w:val="es-ES" w:eastAsia="es-ES"/>
        </w:rPr>
        <w:t xml:space="preserve"> al </w:t>
      </w:r>
      <w:r w:rsidR="00A84CB1" w:rsidRPr="00762014">
        <w:rPr>
          <w:snapToGrid w:val="0"/>
          <w:sz w:val="24"/>
          <w:szCs w:val="22"/>
          <w:lang w:val="es-ES" w:eastAsia="es-ES"/>
        </w:rPr>
        <w:t>31</w:t>
      </w:r>
      <w:r w:rsidR="00BF2842" w:rsidRPr="00762014">
        <w:rPr>
          <w:snapToGrid w:val="0"/>
          <w:sz w:val="24"/>
          <w:szCs w:val="22"/>
          <w:lang w:val="es-ES" w:eastAsia="es-ES"/>
        </w:rPr>
        <w:t xml:space="preserve"> de </w:t>
      </w:r>
      <w:r w:rsidR="00A84CB1" w:rsidRPr="00762014">
        <w:rPr>
          <w:snapToGrid w:val="0"/>
          <w:sz w:val="24"/>
          <w:szCs w:val="22"/>
          <w:lang w:val="es-ES" w:eastAsia="es-ES"/>
        </w:rPr>
        <w:t>dic</w:t>
      </w:r>
      <w:r w:rsidR="00BF2842" w:rsidRPr="00762014">
        <w:rPr>
          <w:snapToGrid w:val="0"/>
          <w:sz w:val="24"/>
          <w:szCs w:val="22"/>
          <w:lang w:val="es-ES" w:eastAsia="es-ES"/>
        </w:rPr>
        <w:t>iembre 20</w:t>
      </w:r>
      <w:r w:rsidR="0087181F" w:rsidRPr="00762014">
        <w:rPr>
          <w:snapToGrid w:val="0"/>
          <w:sz w:val="24"/>
          <w:szCs w:val="22"/>
          <w:lang w:val="es-ES" w:eastAsia="es-ES"/>
        </w:rPr>
        <w:t>2</w:t>
      </w:r>
      <w:r w:rsidR="00A67C8D">
        <w:rPr>
          <w:snapToGrid w:val="0"/>
          <w:sz w:val="24"/>
          <w:szCs w:val="22"/>
          <w:lang w:val="es-ES" w:eastAsia="es-ES"/>
        </w:rPr>
        <w:t>4</w:t>
      </w:r>
      <w:r w:rsidR="006B3867" w:rsidRPr="00762014">
        <w:rPr>
          <w:snapToGrid w:val="0"/>
          <w:sz w:val="24"/>
          <w:szCs w:val="22"/>
          <w:lang w:val="es-ES" w:eastAsia="es-ES"/>
        </w:rPr>
        <w:t xml:space="preserve">, </w:t>
      </w:r>
      <w:r w:rsidR="00976234" w:rsidRPr="00762014">
        <w:rPr>
          <w:snapToGrid w:val="0"/>
          <w:sz w:val="24"/>
          <w:szCs w:val="22"/>
          <w:lang w:val="es-ES" w:eastAsia="es-ES"/>
        </w:rPr>
        <w:t xml:space="preserve">según Carta de </w:t>
      </w:r>
      <w:r w:rsidR="0087181F" w:rsidRPr="00762014">
        <w:rPr>
          <w:snapToGrid w:val="0"/>
          <w:sz w:val="24"/>
          <w:szCs w:val="22"/>
          <w:lang w:val="es-ES" w:eastAsia="es-ES"/>
        </w:rPr>
        <w:t xml:space="preserve">Confirmación de la subvención NIC-M-REDNICA No. </w:t>
      </w:r>
      <w:r w:rsidR="007A1526">
        <w:rPr>
          <w:b/>
          <w:bCs/>
          <w:sz w:val="24"/>
          <w:szCs w:val="22"/>
          <w:lang w:val="es-ES" w:eastAsia="en-GB"/>
        </w:rPr>
        <w:t>2749</w:t>
      </w:r>
      <w:r w:rsidR="0087181F" w:rsidRPr="00762014">
        <w:rPr>
          <w:snapToGrid w:val="0"/>
          <w:sz w:val="24"/>
          <w:szCs w:val="22"/>
          <w:lang w:val="es-ES" w:eastAsia="es-ES"/>
        </w:rPr>
        <w:t>, del</w:t>
      </w:r>
      <w:r w:rsidR="00976234" w:rsidRPr="00762014">
        <w:rPr>
          <w:snapToGrid w:val="0"/>
          <w:sz w:val="24"/>
          <w:szCs w:val="22"/>
          <w:lang w:val="es-ES" w:eastAsia="es-ES"/>
        </w:rPr>
        <w:t xml:space="preserve"> convenio marco entre El Fondo Mundial</w:t>
      </w:r>
      <w:r w:rsidR="000608EF" w:rsidRPr="00762014">
        <w:rPr>
          <w:snapToGrid w:val="0"/>
          <w:sz w:val="24"/>
          <w:szCs w:val="22"/>
          <w:lang w:val="es-ES" w:eastAsia="es-ES"/>
        </w:rPr>
        <w:t xml:space="preserve"> (el financiador) </w:t>
      </w:r>
      <w:r w:rsidR="00976234" w:rsidRPr="00762014">
        <w:rPr>
          <w:snapToGrid w:val="0"/>
          <w:sz w:val="24"/>
          <w:szCs w:val="22"/>
          <w:lang w:val="es-ES" w:eastAsia="es-ES"/>
        </w:rPr>
        <w:t xml:space="preserve">y </w:t>
      </w:r>
      <w:r w:rsidR="007C62ED" w:rsidRPr="008137D1">
        <w:rPr>
          <w:snapToGrid w:val="0"/>
          <w:sz w:val="24"/>
          <w:szCs w:val="22"/>
          <w:lang w:val="es-ES" w:eastAsia="es-ES"/>
        </w:rPr>
        <w:t>La Federaci</w:t>
      </w:r>
      <w:r w:rsidR="001148FE" w:rsidRPr="008137D1">
        <w:rPr>
          <w:snapToGrid w:val="0"/>
          <w:sz w:val="24"/>
          <w:szCs w:val="22"/>
          <w:lang w:val="es-ES" w:eastAsia="es-ES"/>
        </w:rPr>
        <w:t>ón Red</w:t>
      </w:r>
      <w:r w:rsidR="001148FE">
        <w:rPr>
          <w:snapToGrid w:val="0"/>
          <w:sz w:val="24"/>
          <w:szCs w:val="22"/>
          <w:lang w:val="es-ES" w:eastAsia="es-ES"/>
        </w:rPr>
        <w:t xml:space="preserve"> </w:t>
      </w:r>
      <w:r w:rsidR="0087181F" w:rsidRPr="00762014">
        <w:rPr>
          <w:snapToGrid w:val="0"/>
          <w:sz w:val="24"/>
          <w:szCs w:val="22"/>
          <w:lang w:val="es-ES" w:eastAsia="es-ES"/>
        </w:rPr>
        <w:t>NicaSalud (RP).</w:t>
      </w:r>
    </w:p>
    <w:p w14:paraId="478C2FE0" w14:textId="77777777" w:rsidR="00F42A69" w:rsidRPr="0073431D" w:rsidRDefault="000608EF" w:rsidP="00F42A69">
      <w:pPr>
        <w:autoSpaceDE w:val="0"/>
        <w:autoSpaceDN w:val="0"/>
        <w:adjustRightInd w:val="0"/>
        <w:spacing w:after="120"/>
        <w:jc w:val="both"/>
        <w:rPr>
          <w:snapToGrid w:val="0"/>
          <w:sz w:val="24"/>
          <w:szCs w:val="22"/>
          <w:lang w:val="es-ES" w:eastAsia="es-ES"/>
        </w:rPr>
      </w:pPr>
      <w:r w:rsidRPr="0073431D">
        <w:rPr>
          <w:snapToGrid w:val="0"/>
          <w:sz w:val="24"/>
          <w:szCs w:val="22"/>
          <w:lang w:val="es-ES" w:eastAsia="es-ES"/>
        </w:rPr>
        <w:t>La subvención</w:t>
      </w:r>
      <w:r w:rsidR="00F42A69" w:rsidRPr="0073431D">
        <w:rPr>
          <w:snapToGrid w:val="0"/>
          <w:sz w:val="24"/>
          <w:szCs w:val="22"/>
          <w:lang w:val="es-ES" w:eastAsia="es-ES"/>
        </w:rPr>
        <w:t xml:space="preserve"> 2022 – 2024 se basa en el Plan Estratégico Nacional de malaria 2019-2025 (PENM), donde define los objetivos estratégicos que permite al país enfocarse hacia la repuesta coordinada inter-programática y multisectorial que conducirá al país en avanzar de manera ordenada hacia la eliminación de la malaria con implementación de la estrategia del DTIR en armonía con el MOSAFC.  </w:t>
      </w:r>
    </w:p>
    <w:p w14:paraId="68158F25" w14:textId="77777777" w:rsidR="00B208D7" w:rsidRPr="0073431D" w:rsidRDefault="00F42A69" w:rsidP="00762014">
      <w:pPr>
        <w:autoSpaceDE w:val="0"/>
        <w:autoSpaceDN w:val="0"/>
        <w:adjustRightInd w:val="0"/>
        <w:spacing w:after="120"/>
        <w:jc w:val="both"/>
        <w:rPr>
          <w:snapToGrid w:val="0"/>
          <w:sz w:val="24"/>
          <w:szCs w:val="22"/>
          <w:lang w:val="es-ES" w:eastAsia="es-ES"/>
        </w:rPr>
      </w:pPr>
      <w:r w:rsidRPr="0073431D">
        <w:rPr>
          <w:snapToGrid w:val="0"/>
          <w:sz w:val="24"/>
          <w:szCs w:val="22"/>
          <w:lang w:val="es-ES" w:eastAsia="es-ES"/>
        </w:rPr>
        <w:t xml:space="preserve">Bajo la asistencia técnica de la OMS en la </w:t>
      </w:r>
      <w:r w:rsidR="00C12D5E" w:rsidRPr="0073431D">
        <w:rPr>
          <w:snapToGrid w:val="0"/>
          <w:sz w:val="24"/>
          <w:szCs w:val="22"/>
          <w:lang w:val="es-ES" w:eastAsia="es-ES"/>
        </w:rPr>
        <w:t xml:space="preserve">estrategia técnica mundial de eliminación de la </w:t>
      </w:r>
      <w:r w:rsidR="00B208D7" w:rsidRPr="0073431D">
        <w:rPr>
          <w:snapToGrid w:val="0"/>
          <w:sz w:val="24"/>
          <w:szCs w:val="22"/>
          <w:lang w:val="es-ES" w:eastAsia="es-ES"/>
        </w:rPr>
        <w:t>malaria</w:t>
      </w:r>
      <w:r w:rsidR="000608EF" w:rsidRPr="0073431D">
        <w:rPr>
          <w:snapToGrid w:val="0"/>
          <w:sz w:val="24"/>
          <w:szCs w:val="22"/>
          <w:lang w:val="es-ES" w:eastAsia="es-ES"/>
        </w:rPr>
        <w:t xml:space="preserve"> (</w:t>
      </w:r>
      <w:r w:rsidR="00B208D7" w:rsidRPr="0073431D">
        <w:rPr>
          <w:snapToGrid w:val="0"/>
          <w:sz w:val="24"/>
          <w:szCs w:val="22"/>
          <w:lang w:val="es-ES" w:eastAsia="es-ES"/>
        </w:rPr>
        <w:t>2016-2030</w:t>
      </w:r>
      <w:r w:rsidR="000608EF" w:rsidRPr="0073431D">
        <w:rPr>
          <w:snapToGrid w:val="0"/>
          <w:sz w:val="24"/>
          <w:szCs w:val="22"/>
          <w:lang w:val="es-ES" w:eastAsia="es-ES"/>
        </w:rPr>
        <w:t>), con u</w:t>
      </w:r>
      <w:r w:rsidR="00B208D7" w:rsidRPr="0073431D">
        <w:rPr>
          <w:snapToGrid w:val="0"/>
          <w:sz w:val="24"/>
          <w:szCs w:val="22"/>
          <w:lang w:val="es-ES" w:eastAsia="es-ES"/>
        </w:rPr>
        <w:t xml:space="preserve">n enfoque amplio que se basa en tres pilares y dos elementos de apoyo que orientan la concepción de los programas nacionales adaptados, mientras que el documento </w:t>
      </w:r>
      <w:r w:rsidR="00B31662" w:rsidRPr="0073431D">
        <w:rPr>
          <w:snapToGrid w:val="0"/>
          <w:sz w:val="24"/>
          <w:szCs w:val="22"/>
          <w:lang w:val="es-ES" w:eastAsia="es-ES"/>
        </w:rPr>
        <w:t>Acción</w:t>
      </w:r>
      <w:r w:rsidR="00B208D7" w:rsidRPr="0073431D">
        <w:rPr>
          <w:snapToGrid w:val="0"/>
          <w:sz w:val="24"/>
          <w:szCs w:val="22"/>
          <w:lang w:val="es-ES" w:eastAsia="es-ES"/>
        </w:rPr>
        <w:t xml:space="preserve"> e inversión para vencer a la malaria 2016–2030</w:t>
      </w:r>
      <w:r w:rsidR="00F300B5" w:rsidRPr="0073431D">
        <w:rPr>
          <w:snapToGrid w:val="0"/>
          <w:sz w:val="24"/>
          <w:szCs w:val="22"/>
          <w:lang w:val="es-ES" w:eastAsia="es-ES"/>
        </w:rPr>
        <w:t>,</w:t>
      </w:r>
      <w:r w:rsidR="00B208D7" w:rsidRPr="0073431D">
        <w:rPr>
          <w:snapToGrid w:val="0"/>
          <w:sz w:val="24"/>
          <w:szCs w:val="22"/>
          <w:lang w:val="es-ES" w:eastAsia="es-ES"/>
        </w:rPr>
        <w:t xml:space="preserve"> elaborado por la </w:t>
      </w:r>
      <w:r w:rsidR="00627E5D" w:rsidRPr="0073431D">
        <w:rPr>
          <w:snapToGrid w:val="0"/>
          <w:sz w:val="24"/>
          <w:szCs w:val="22"/>
          <w:lang w:val="es-ES" w:eastAsia="es-ES"/>
        </w:rPr>
        <w:t>a</w:t>
      </w:r>
      <w:r w:rsidR="00B208D7" w:rsidRPr="0073431D">
        <w:rPr>
          <w:snapToGrid w:val="0"/>
          <w:sz w:val="24"/>
          <w:szCs w:val="22"/>
          <w:lang w:val="es-ES" w:eastAsia="es-ES"/>
        </w:rPr>
        <w:t xml:space="preserve">lianza para </w:t>
      </w:r>
      <w:r w:rsidR="00627E5D" w:rsidRPr="0073431D">
        <w:rPr>
          <w:snapToGrid w:val="0"/>
          <w:sz w:val="24"/>
          <w:szCs w:val="22"/>
          <w:lang w:val="es-ES" w:eastAsia="es-ES"/>
        </w:rPr>
        <w:t>h</w:t>
      </w:r>
      <w:r w:rsidR="00B208D7" w:rsidRPr="0073431D">
        <w:rPr>
          <w:snapToGrid w:val="0"/>
          <w:sz w:val="24"/>
          <w:szCs w:val="22"/>
          <w:lang w:val="es-ES" w:eastAsia="es-ES"/>
        </w:rPr>
        <w:t>acer</w:t>
      </w:r>
      <w:r w:rsidR="00627E5D" w:rsidRPr="0073431D">
        <w:rPr>
          <w:snapToGrid w:val="0"/>
          <w:sz w:val="24"/>
          <w:szCs w:val="22"/>
          <w:lang w:val="es-ES" w:eastAsia="es-ES"/>
        </w:rPr>
        <w:t xml:space="preserve"> r</w:t>
      </w:r>
      <w:r w:rsidR="00B208D7" w:rsidRPr="0073431D">
        <w:rPr>
          <w:snapToGrid w:val="0"/>
          <w:sz w:val="24"/>
          <w:szCs w:val="22"/>
          <w:lang w:val="es-ES" w:eastAsia="es-ES"/>
        </w:rPr>
        <w:t xml:space="preserve">etroceder el </w:t>
      </w:r>
      <w:r w:rsidR="00F74E58" w:rsidRPr="0073431D">
        <w:rPr>
          <w:snapToGrid w:val="0"/>
          <w:sz w:val="24"/>
          <w:szCs w:val="22"/>
          <w:lang w:val="es-ES" w:eastAsia="es-ES"/>
        </w:rPr>
        <w:t>p</w:t>
      </w:r>
      <w:r w:rsidR="00B208D7" w:rsidRPr="0073431D">
        <w:rPr>
          <w:snapToGrid w:val="0"/>
          <w:sz w:val="24"/>
          <w:szCs w:val="22"/>
          <w:lang w:val="es-ES" w:eastAsia="es-ES"/>
        </w:rPr>
        <w:t>aludismo, presenta argumentos sólidos a favor de la inversión para</w:t>
      </w:r>
      <w:r w:rsidR="00627E5D" w:rsidRPr="0073431D">
        <w:rPr>
          <w:snapToGrid w:val="0"/>
          <w:sz w:val="24"/>
          <w:szCs w:val="22"/>
          <w:lang w:val="es-ES" w:eastAsia="es-ES"/>
        </w:rPr>
        <w:t xml:space="preserve"> </w:t>
      </w:r>
      <w:r w:rsidR="00B208D7" w:rsidRPr="0073431D">
        <w:rPr>
          <w:snapToGrid w:val="0"/>
          <w:sz w:val="24"/>
          <w:szCs w:val="22"/>
          <w:lang w:val="es-ES" w:eastAsia="es-ES"/>
        </w:rPr>
        <w:t>movilizar la acción colectiva y los recursos a fin de luchar contra esta enfermedad.</w:t>
      </w:r>
    </w:p>
    <w:p w14:paraId="1E21786D" w14:textId="77777777" w:rsidR="00627E5D" w:rsidRPr="0073431D" w:rsidRDefault="00F42A69" w:rsidP="00762014">
      <w:pPr>
        <w:autoSpaceDE w:val="0"/>
        <w:autoSpaceDN w:val="0"/>
        <w:adjustRightInd w:val="0"/>
        <w:spacing w:after="120"/>
        <w:jc w:val="both"/>
        <w:rPr>
          <w:snapToGrid w:val="0"/>
          <w:sz w:val="24"/>
          <w:szCs w:val="22"/>
          <w:lang w:val="es-ES" w:eastAsia="es-ES"/>
        </w:rPr>
      </w:pPr>
      <w:r w:rsidRPr="0073431D">
        <w:rPr>
          <w:snapToGrid w:val="0"/>
          <w:sz w:val="24"/>
          <w:szCs w:val="22"/>
          <w:lang w:val="es-ES" w:eastAsia="es-ES"/>
        </w:rPr>
        <w:t>E</w:t>
      </w:r>
      <w:r w:rsidR="00030E63" w:rsidRPr="0073431D">
        <w:rPr>
          <w:snapToGrid w:val="0"/>
          <w:sz w:val="24"/>
          <w:szCs w:val="22"/>
          <w:lang w:val="es-ES" w:eastAsia="es-ES"/>
        </w:rPr>
        <w:t>l</w:t>
      </w:r>
      <w:r w:rsidR="00B208D7" w:rsidRPr="0073431D">
        <w:rPr>
          <w:snapToGrid w:val="0"/>
          <w:sz w:val="24"/>
          <w:szCs w:val="22"/>
          <w:lang w:val="es-ES" w:eastAsia="es-ES"/>
        </w:rPr>
        <w:t xml:space="preserve"> marco de eliminación de la malaria </w:t>
      </w:r>
      <w:r w:rsidRPr="0073431D">
        <w:rPr>
          <w:snapToGrid w:val="0"/>
          <w:sz w:val="24"/>
          <w:szCs w:val="22"/>
          <w:lang w:val="es-ES" w:eastAsia="es-ES"/>
        </w:rPr>
        <w:t xml:space="preserve">establece los </w:t>
      </w:r>
      <w:r w:rsidR="00B208D7" w:rsidRPr="0073431D">
        <w:rPr>
          <w:snapToGrid w:val="0"/>
          <w:sz w:val="24"/>
          <w:szCs w:val="22"/>
          <w:lang w:val="es-ES" w:eastAsia="es-ES"/>
        </w:rPr>
        <w:t xml:space="preserve">siguientes </w:t>
      </w:r>
      <w:r w:rsidR="006F071C" w:rsidRPr="0073431D">
        <w:rPr>
          <w:snapToGrid w:val="0"/>
          <w:sz w:val="24"/>
          <w:szCs w:val="22"/>
          <w:lang w:val="es-ES" w:eastAsia="es-ES"/>
        </w:rPr>
        <w:t>objetivos</w:t>
      </w:r>
      <w:r w:rsidRPr="0073431D">
        <w:rPr>
          <w:snapToGrid w:val="0"/>
          <w:sz w:val="24"/>
          <w:szCs w:val="22"/>
          <w:lang w:val="es-ES" w:eastAsia="es-ES"/>
        </w:rPr>
        <w:t xml:space="preserve"> tomados en cuenta en el PENM 2019 - 2025</w:t>
      </w:r>
      <w:r w:rsidR="006F071C" w:rsidRPr="0073431D">
        <w:rPr>
          <w:snapToGrid w:val="0"/>
          <w:sz w:val="24"/>
          <w:szCs w:val="22"/>
          <w:lang w:val="es-ES" w:eastAsia="es-ES"/>
        </w:rPr>
        <w:t>:</w:t>
      </w:r>
      <w:r w:rsidR="00030E63" w:rsidRPr="0073431D">
        <w:rPr>
          <w:snapToGrid w:val="0"/>
          <w:sz w:val="24"/>
          <w:szCs w:val="22"/>
          <w:lang w:val="es-ES" w:eastAsia="es-ES"/>
        </w:rPr>
        <w:t xml:space="preserve"> </w:t>
      </w:r>
    </w:p>
    <w:p w14:paraId="0515BC5A" w14:textId="77777777" w:rsidR="00627E5D" w:rsidRPr="0073431D" w:rsidRDefault="00030E63" w:rsidP="00762014">
      <w:pPr>
        <w:autoSpaceDE w:val="0"/>
        <w:autoSpaceDN w:val="0"/>
        <w:adjustRightInd w:val="0"/>
        <w:spacing w:after="120"/>
        <w:ind w:left="284"/>
        <w:jc w:val="both"/>
        <w:rPr>
          <w:snapToGrid w:val="0"/>
          <w:sz w:val="24"/>
          <w:szCs w:val="22"/>
          <w:lang w:val="es-ES" w:eastAsia="es-ES"/>
        </w:rPr>
      </w:pPr>
      <w:r w:rsidRPr="0073431D">
        <w:rPr>
          <w:snapToGrid w:val="0"/>
          <w:sz w:val="24"/>
          <w:szCs w:val="22"/>
          <w:lang w:val="es-ES" w:eastAsia="es-ES"/>
        </w:rPr>
        <w:t>1. Lograr el acceso universal a la prevención, el diagnóstico y el</w:t>
      </w:r>
      <w:r w:rsidR="00627E5D" w:rsidRPr="0073431D">
        <w:rPr>
          <w:snapToGrid w:val="0"/>
          <w:sz w:val="24"/>
          <w:szCs w:val="22"/>
          <w:lang w:val="es-ES" w:eastAsia="es-ES"/>
        </w:rPr>
        <w:t xml:space="preserve"> </w:t>
      </w:r>
      <w:r w:rsidRPr="0073431D">
        <w:rPr>
          <w:snapToGrid w:val="0"/>
          <w:sz w:val="24"/>
          <w:szCs w:val="22"/>
          <w:lang w:val="es-ES" w:eastAsia="es-ES"/>
        </w:rPr>
        <w:t>tratamiento de la malaria,</w:t>
      </w:r>
    </w:p>
    <w:p w14:paraId="2DE77880" w14:textId="77777777" w:rsidR="00627E5D" w:rsidRPr="0073431D" w:rsidRDefault="00030E63" w:rsidP="00762014">
      <w:pPr>
        <w:autoSpaceDE w:val="0"/>
        <w:autoSpaceDN w:val="0"/>
        <w:adjustRightInd w:val="0"/>
        <w:spacing w:after="120"/>
        <w:ind w:left="284"/>
        <w:jc w:val="both"/>
        <w:rPr>
          <w:snapToGrid w:val="0"/>
          <w:sz w:val="24"/>
          <w:szCs w:val="22"/>
          <w:lang w:val="es-ES" w:eastAsia="es-ES"/>
        </w:rPr>
      </w:pPr>
      <w:r w:rsidRPr="0073431D">
        <w:rPr>
          <w:snapToGrid w:val="0"/>
          <w:sz w:val="24"/>
          <w:szCs w:val="22"/>
          <w:lang w:val="es-ES" w:eastAsia="es-ES"/>
        </w:rPr>
        <w:t xml:space="preserve">2. Acelerar </w:t>
      </w:r>
      <w:r w:rsidR="00907E07" w:rsidRPr="0073431D">
        <w:rPr>
          <w:snapToGrid w:val="0"/>
          <w:sz w:val="24"/>
          <w:szCs w:val="22"/>
          <w:lang w:val="es-ES" w:eastAsia="es-ES"/>
        </w:rPr>
        <w:t>los esfuerzos</w:t>
      </w:r>
      <w:r w:rsidRPr="0073431D">
        <w:rPr>
          <w:snapToGrid w:val="0"/>
          <w:sz w:val="24"/>
          <w:szCs w:val="22"/>
          <w:lang w:val="es-ES" w:eastAsia="es-ES"/>
        </w:rPr>
        <w:t xml:space="preserve"> para</w:t>
      </w:r>
      <w:r w:rsidR="00907E07" w:rsidRPr="0073431D">
        <w:rPr>
          <w:snapToGrid w:val="0"/>
          <w:sz w:val="24"/>
          <w:szCs w:val="22"/>
          <w:lang w:val="es-ES" w:eastAsia="es-ES"/>
        </w:rPr>
        <w:t xml:space="preserve"> </w:t>
      </w:r>
      <w:r w:rsidRPr="0073431D">
        <w:rPr>
          <w:snapToGrid w:val="0"/>
          <w:sz w:val="24"/>
          <w:szCs w:val="22"/>
          <w:lang w:val="es-ES" w:eastAsia="es-ES"/>
        </w:rPr>
        <w:t xml:space="preserve">lograr la </w:t>
      </w:r>
      <w:r w:rsidR="006F071C" w:rsidRPr="0073431D">
        <w:rPr>
          <w:snapToGrid w:val="0"/>
          <w:sz w:val="24"/>
          <w:szCs w:val="22"/>
          <w:lang w:val="es-ES" w:eastAsia="es-ES"/>
        </w:rPr>
        <w:t>eliminación</w:t>
      </w:r>
      <w:r w:rsidR="00627E5D" w:rsidRPr="0073431D">
        <w:rPr>
          <w:snapToGrid w:val="0"/>
          <w:sz w:val="24"/>
          <w:szCs w:val="22"/>
          <w:lang w:val="es-ES" w:eastAsia="es-ES"/>
        </w:rPr>
        <w:t xml:space="preserve"> </w:t>
      </w:r>
      <w:r w:rsidRPr="0073431D">
        <w:rPr>
          <w:snapToGrid w:val="0"/>
          <w:sz w:val="24"/>
          <w:szCs w:val="22"/>
          <w:lang w:val="es-ES" w:eastAsia="es-ES"/>
        </w:rPr>
        <w:t xml:space="preserve">y alcanzar el estado libre de </w:t>
      </w:r>
      <w:r w:rsidR="00627E5D" w:rsidRPr="0073431D">
        <w:rPr>
          <w:snapToGrid w:val="0"/>
          <w:sz w:val="24"/>
          <w:szCs w:val="22"/>
          <w:lang w:val="es-ES" w:eastAsia="es-ES"/>
        </w:rPr>
        <w:t>malaria.</w:t>
      </w:r>
    </w:p>
    <w:p w14:paraId="24069BFF" w14:textId="77777777" w:rsidR="00F42A69" w:rsidRPr="0073431D" w:rsidRDefault="00030E63" w:rsidP="00F42A69">
      <w:pPr>
        <w:autoSpaceDE w:val="0"/>
        <w:autoSpaceDN w:val="0"/>
        <w:adjustRightInd w:val="0"/>
        <w:spacing w:after="120"/>
        <w:ind w:left="284"/>
        <w:jc w:val="both"/>
        <w:rPr>
          <w:snapToGrid w:val="0"/>
          <w:sz w:val="24"/>
          <w:szCs w:val="22"/>
          <w:lang w:val="es-ES" w:eastAsia="es-ES"/>
        </w:rPr>
      </w:pPr>
      <w:r w:rsidRPr="0073431D">
        <w:rPr>
          <w:snapToGrid w:val="0"/>
          <w:sz w:val="24"/>
          <w:szCs w:val="22"/>
          <w:lang w:val="es-ES" w:eastAsia="es-ES"/>
        </w:rPr>
        <w:t>3</w:t>
      </w:r>
      <w:r w:rsidR="000C3ABB" w:rsidRPr="0073431D">
        <w:rPr>
          <w:snapToGrid w:val="0"/>
          <w:sz w:val="24"/>
          <w:szCs w:val="22"/>
          <w:lang w:val="es-ES" w:eastAsia="es-ES"/>
        </w:rPr>
        <w:t>.</w:t>
      </w:r>
      <w:r w:rsidRPr="0073431D">
        <w:rPr>
          <w:snapToGrid w:val="0"/>
          <w:sz w:val="24"/>
          <w:szCs w:val="22"/>
          <w:lang w:val="es-ES" w:eastAsia="es-ES"/>
        </w:rPr>
        <w:t xml:space="preserve"> </w:t>
      </w:r>
      <w:r w:rsidR="00F42A69" w:rsidRPr="0073431D">
        <w:rPr>
          <w:snapToGrid w:val="0"/>
          <w:sz w:val="24"/>
          <w:szCs w:val="22"/>
          <w:lang w:val="es-ES" w:eastAsia="es-ES"/>
        </w:rPr>
        <w:t>Tomar la vigilancia del paludismo como una inversión básica</w:t>
      </w:r>
    </w:p>
    <w:p w14:paraId="2C9B42C8" w14:textId="77777777" w:rsidR="0057309B" w:rsidRPr="0073431D" w:rsidRDefault="00C20D7A" w:rsidP="00762014">
      <w:pPr>
        <w:autoSpaceDE w:val="0"/>
        <w:autoSpaceDN w:val="0"/>
        <w:adjustRightInd w:val="0"/>
        <w:spacing w:after="120"/>
        <w:jc w:val="both"/>
        <w:rPr>
          <w:snapToGrid w:val="0"/>
          <w:sz w:val="24"/>
          <w:szCs w:val="22"/>
          <w:lang w:val="es-ES" w:eastAsia="es-ES"/>
        </w:rPr>
      </w:pPr>
      <w:r w:rsidRPr="0073431D">
        <w:rPr>
          <w:snapToGrid w:val="0"/>
          <w:sz w:val="24"/>
          <w:szCs w:val="22"/>
          <w:lang w:val="es-ES" w:eastAsia="es-ES"/>
        </w:rPr>
        <w:t>A partir del año 2019, con el apoyo técnico de la OPS, Nicaragua inició la estrategia del DTI-R (Detección, Diagnóstico, Tratamiento, Investigación y Repuesta), que incorpora las actividades necesarias para llegar a la certificación de eliminación de malaria en el país. La estrategia hace énfasis en priorizar actividades para la eliminación del parásito en el reservorio humano y actividades complementarias en la lucha contra el vector. Parte de la estrategia es la clasificación de</w:t>
      </w:r>
      <w:r w:rsidR="00FB287E" w:rsidRPr="0073431D">
        <w:rPr>
          <w:snapToGrid w:val="0"/>
          <w:sz w:val="24"/>
          <w:szCs w:val="22"/>
          <w:lang w:val="es-ES" w:eastAsia="es-ES"/>
        </w:rPr>
        <w:t xml:space="preserve"> sus municipios en </w:t>
      </w:r>
      <w:r w:rsidR="00F74E58" w:rsidRPr="0073431D">
        <w:rPr>
          <w:snapToGrid w:val="0"/>
          <w:sz w:val="24"/>
          <w:szCs w:val="22"/>
          <w:lang w:val="es-ES" w:eastAsia="es-ES"/>
        </w:rPr>
        <w:t xml:space="preserve">cinco </w:t>
      </w:r>
      <w:r w:rsidR="00FB287E" w:rsidRPr="0073431D">
        <w:rPr>
          <w:snapToGrid w:val="0"/>
          <w:sz w:val="24"/>
          <w:szCs w:val="22"/>
          <w:lang w:val="es-ES" w:eastAsia="es-ES"/>
        </w:rPr>
        <w:t>estratos epidemiológicos de malaria para la focalización</w:t>
      </w:r>
      <w:r w:rsidR="00C5525F" w:rsidRPr="0073431D">
        <w:rPr>
          <w:snapToGrid w:val="0"/>
          <w:sz w:val="24"/>
          <w:szCs w:val="22"/>
          <w:lang w:val="es-ES" w:eastAsia="es-ES"/>
        </w:rPr>
        <w:t xml:space="preserve"> </w:t>
      </w:r>
      <w:r w:rsidR="00FB287E" w:rsidRPr="0073431D">
        <w:rPr>
          <w:snapToGrid w:val="0"/>
          <w:sz w:val="24"/>
          <w:szCs w:val="22"/>
          <w:lang w:val="es-ES" w:eastAsia="es-ES"/>
        </w:rPr>
        <w:t>y</w:t>
      </w:r>
      <w:r w:rsidR="00C5525F" w:rsidRPr="0073431D">
        <w:rPr>
          <w:snapToGrid w:val="0"/>
          <w:sz w:val="24"/>
          <w:szCs w:val="22"/>
          <w:lang w:val="es-ES" w:eastAsia="es-ES"/>
        </w:rPr>
        <w:t xml:space="preserve"> p</w:t>
      </w:r>
      <w:r w:rsidR="00FB287E" w:rsidRPr="0073431D">
        <w:rPr>
          <w:snapToGrid w:val="0"/>
          <w:sz w:val="24"/>
          <w:szCs w:val="22"/>
          <w:lang w:val="es-ES" w:eastAsia="es-ES"/>
        </w:rPr>
        <w:t>riorización de las intervenciones clave</w:t>
      </w:r>
      <w:r w:rsidR="00C5525F" w:rsidRPr="0073431D">
        <w:rPr>
          <w:snapToGrid w:val="0"/>
          <w:sz w:val="24"/>
          <w:szCs w:val="22"/>
          <w:lang w:val="es-ES" w:eastAsia="es-ES"/>
        </w:rPr>
        <w:t>s</w:t>
      </w:r>
      <w:r w:rsidR="00FB287E" w:rsidRPr="0073431D">
        <w:rPr>
          <w:snapToGrid w:val="0"/>
          <w:sz w:val="24"/>
          <w:szCs w:val="22"/>
          <w:lang w:val="es-ES" w:eastAsia="es-ES"/>
        </w:rPr>
        <w:t xml:space="preserve"> contra la malaria</w:t>
      </w:r>
      <w:r w:rsidR="0057309B" w:rsidRPr="0073431D">
        <w:rPr>
          <w:snapToGrid w:val="0"/>
          <w:sz w:val="24"/>
          <w:szCs w:val="22"/>
          <w:lang w:val="es-ES" w:eastAsia="es-ES"/>
        </w:rPr>
        <w:t>, esta nueva clasificación se resume en la tabla siguiente:</w:t>
      </w:r>
    </w:p>
    <w:tbl>
      <w:tblPr>
        <w:tblStyle w:val="TableGrid"/>
        <w:tblW w:w="9443" w:type="dxa"/>
        <w:jc w:val="center"/>
        <w:tblLook w:val="04A0" w:firstRow="1" w:lastRow="0" w:firstColumn="1" w:lastColumn="0" w:noHBand="0" w:noVBand="1"/>
      </w:tblPr>
      <w:tblGrid>
        <w:gridCol w:w="1212"/>
        <w:gridCol w:w="8231"/>
      </w:tblGrid>
      <w:tr w:rsidR="0057309B" w:rsidRPr="0073431D" w14:paraId="122F6B54" w14:textId="77777777" w:rsidTr="00A37217">
        <w:trPr>
          <w:trHeight w:val="211"/>
          <w:jc w:val="center"/>
        </w:trPr>
        <w:tc>
          <w:tcPr>
            <w:tcW w:w="1212" w:type="dxa"/>
            <w:shd w:val="clear" w:color="auto" w:fill="B8CCE4" w:themeFill="accent1" w:themeFillTint="66"/>
            <w:vAlign w:val="center"/>
          </w:tcPr>
          <w:p w14:paraId="5B5DAE86" w14:textId="77777777" w:rsidR="0057309B" w:rsidRPr="0073431D" w:rsidRDefault="0057309B" w:rsidP="00F300B5">
            <w:pPr>
              <w:tabs>
                <w:tab w:val="num" w:pos="720"/>
              </w:tabs>
              <w:jc w:val="center"/>
              <w:rPr>
                <w:rFonts w:cs="Arial"/>
                <w:b/>
                <w:szCs w:val="22"/>
                <w:lang w:val="es-419"/>
              </w:rPr>
            </w:pPr>
            <w:r w:rsidRPr="0073431D">
              <w:rPr>
                <w:rFonts w:cs="Arial"/>
                <w:b/>
                <w:szCs w:val="22"/>
                <w:lang w:val="es-419"/>
              </w:rPr>
              <w:t>Estratos</w:t>
            </w:r>
          </w:p>
        </w:tc>
        <w:tc>
          <w:tcPr>
            <w:tcW w:w="8231" w:type="dxa"/>
            <w:shd w:val="clear" w:color="auto" w:fill="B8CCE4" w:themeFill="accent1" w:themeFillTint="66"/>
            <w:vAlign w:val="center"/>
          </w:tcPr>
          <w:p w14:paraId="33FD298A" w14:textId="77777777" w:rsidR="0057309B" w:rsidRPr="0073431D" w:rsidRDefault="0057309B" w:rsidP="00F300B5">
            <w:pPr>
              <w:tabs>
                <w:tab w:val="num" w:pos="720"/>
              </w:tabs>
              <w:jc w:val="center"/>
              <w:rPr>
                <w:rFonts w:cs="Arial"/>
                <w:b/>
                <w:szCs w:val="22"/>
                <w:lang w:val="es-419"/>
              </w:rPr>
            </w:pPr>
            <w:r w:rsidRPr="0073431D">
              <w:rPr>
                <w:rFonts w:cs="Arial"/>
                <w:b/>
                <w:szCs w:val="22"/>
                <w:lang w:val="es-419"/>
              </w:rPr>
              <w:t>Criterios</w:t>
            </w:r>
          </w:p>
        </w:tc>
      </w:tr>
      <w:tr w:rsidR="0057309B" w:rsidRPr="0073431D" w14:paraId="72E90000" w14:textId="77777777" w:rsidTr="00A37217">
        <w:trPr>
          <w:trHeight w:val="227"/>
          <w:jc w:val="center"/>
        </w:trPr>
        <w:tc>
          <w:tcPr>
            <w:tcW w:w="1212" w:type="dxa"/>
            <w:vAlign w:val="center"/>
          </w:tcPr>
          <w:p w14:paraId="403520F9" w14:textId="77777777" w:rsidR="0057309B" w:rsidRPr="0073431D" w:rsidRDefault="0057309B" w:rsidP="00F300B5">
            <w:pPr>
              <w:tabs>
                <w:tab w:val="num" w:pos="720"/>
              </w:tabs>
              <w:jc w:val="center"/>
              <w:rPr>
                <w:rFonts w:cs="Arial"/>
                <w:szCs w:val="22"/>
                <w:lang w:val="es-419"/>
              </w:rPr>
            </w:pPr>
            <w:r w:rsidRPr="0073431D">
              <w:rPr>
                <w:rFonts w:cs="Arial"/>
                <w:szCs w:val="22"/>
                <w:lang w:val="es-419"/>
              </w:rPr>
              <w:t>Estrato 1</w:t>
            </w:r>
          </w:p>
        </w:tc>
        <w:tc>
          <w:tcPr>
            <w:tcW w:w="8231" w:type="dxa"/>
            <w:vAlign w:val="center"/>
          </w:tcPr>
          <w:p w14:paraId="513ED7C8" w14:textId="77777777" w:rsidR="0057309B" w:rsidRPr="0073431D" w:rsidRDefault="0057309B" w:rsidP="00F300B5">
            <w:pPr>
              <w:tabs>
                <w:tab w:val="num" w:pos="720"/>
              </w:tabs>
              <w:jc w:val="both"/>
              <w:rPr>
                <w:rFonts w:cs="Arial"/>
                <w:szCs w:val="22"/>
                <w:lang w:val="es-419"/>
              </w:rPr>
            </w:pPr>
            <w:r w:rsidRPr="0073431D">
              <w:rPr>
                <w:rFonts w:cs="Arial"/>
                <w:b/>
                <w:szCs w:val="22"/>
                <w:lang w:val="es-419"/>
              </w:rPr>
              <w:t>NO</w:t>
            </w:r>
            <w:r w:rsidRPr="0073431D">
              <w:rPr>
                <w:rFonts w:cs="Arial"/>
                <w:szCs w:val="22"/>
                <w:lang w:val="es-419"/>
              </w:rPr>
              <w:t xml:space="preserve"> Receptivo</w:t>
            </w:r>
          </w:p>
        </w:tc>
      </w:tr>
      <w:tr w:rsidR="0057309B" w:rsidRPr="001C4943" w14:paraId="7096591B" w14:textId="77777777" w:rsidTr="00A37217">
        <w:trPr>
          <w:trHeight w:val="211"/>
          <w:jc w:val="center"/>
        </w:trPr>
        <w:tc>
          <w:tcPr>
            <w:tcW w:w="1212" w:type="dxa"/>
            <w:vAlign w:val="center"/>
          </w:tcPr>
          <w:p w14:paraId="6FB1F2DD" w14:textId="77777777" w:rsidR="0057309B" w:rsidRPr="0073431D" w:rsidRDefault="0057309B" w:rsidP="00F300B5">
            <w:pPr>
              <w:tabs>
                <w:tab w:val="num" w:pos="720"/>
              </w:tabs>
              <w:jc w:val="center"/>
              <w:rPr>
                <w:rFonts w:cs="Arial"/>
                <w:szCs w:val="22"/>
                <w:lang w:val="es-419"/>
              </w:rPr>
            </w:pPr>
            <w:r w:rsidRPr="0073431D">
              <w:rPr>
                <w:rFonts w:cs="Arial"/>
                <w:szCs w:val="22"/>
                <w:lang w:val="es-419"/>
              </w:rPr>
              <w:t>Estrato 2</w:t>
            </w:r>
          </w:p>
        </w:tc>
        <w:tc>
          <w:tcPr>
            <w:tcW w:w="8231" w:type="dxa"/>
            <w:vAlign w:val="center"/>
          </w:tcPr>
          <w:p w14:paraId="18BEF3A9" w14:textId="77777777" w:rsidR="0057309B" w:rsidRPr="0073431D" w:rsidRDefault="0057309B" w:rsidP="00F300B5">
            <w:pPr>
              <w:tabs>
                <w:tab w:val="num" w:pos="720"/>
              </w:tabs>
              <w:jc w:val="both"/>
              <w:rPr>
                <w:rFonts w:cs="Arial"/>
                <w:szCs w:val="22"/>
                <w:lang w:val="es-419"/>
              </w:rPr>
            </w:pPr>
            <w:r w:rsidRPr="0073431D">
              <w:rPr>
                <w:rFonts w:cs="Arial"/>
                <w:szCs w:val="22"/>
                <w:lang w:val="es-419"/>
              </w:rPr>
              <w:t xml:space="preserve">Receptivo. </w:t>
            </w:r>
            <w:r w:rsidRPr="0073431D">
              <w:rPr>
                <w:rFonts w:cs="Arial"/>
                <w:b/>
                <w:szCs w:val="22"/>
                <w:lang w:val="es-419"/>
              </w:rPr>
              <w:t>SIN</w:t>
            </w:r>
            <w:r w:rsidRPr="0073431D">
              <w:rPr>
                <w:rFonts w:cs="Arial"/>
                <w:szCs w:val="22"/>
                <w:lang w:val="es-419"/>
              </w:rPr>
              <w:t xml:space="preserve"> casos autóctono y </w:t>
            </w:r>
            <w:r w:rsidRPr="0073431D">
              <w:rPr>
                <w:rFonts w:cs="Arial"/>
                <w:b/>
                <w:szCs w:val="22"/>
                <w:lang w:val="es-419"/>
              </w:rPr>
              <w:t>SIN</w:t>
            </w:r>
            <w:r w:rsidRPr="0073431D">
              <w:rPr>
                <w:rFonts w:cs="Arial"/>
                <w:szCs w:val="22"/>
                <w:lang w:val="es-419"/>
              </w:rPr>
              <w:t xml:space="preserve"> riesgo de importación de parásitos.</w:t>
            </w:r>
          </w:p>
        </w:tc>
      </w:tr>
      <w:tr w:rsidR="0057309B" w:rsidRPr="001C4943" w14:paraId="0776F760" w14:textId="77777777" w:rsidTr="00A37217">
        <w:trPr>
          <w:trHeight w:val="211"/>
          <w:jc w:val="center"/>
        </w:trPr>
        <w:tc>
          <w:tcPr>
            <w:tcW w:w="1212" w:type="dxa"/>
            <w:vAlign w:val="center"/>
          </w:tcPr>
          <w:p w14:paraId="52E56249" w14:textId="77777777" w:rsidR="0057309B" w:rsidRPr="0073431D" w:rsidRDefault="0057309B" w:rsidP="00F300B5">
            <w:pPr>
              <w:tabs>
                <w:tab w:val="num" w:pos="720"/>
              </w:tabs>
              <w:jc w:val="center"/>
              <w:rPr>
                <w:rFonts w:cs="Arial"/>
                <w:szCs w:val="22"/>
                <w:lang w:val="es-419"/>
              </w:rPr>
            </w:pPr>
            <w:r w:rsidRPr="0073431D">
              <w:rPr>
                <w:rFonts w:cs="Arial"/>
                <w:szCs w:val="22"/>
                <w:lang w:val="es-419"/>
              </w:rPr>
              <w:t>Estrato 3</w:t>
            </w:r>
          </w:p>
        </w:tc>
        <w:tc>
          <w:tcPr>
            <w:tcW w:w="8231" w:type="dxa"/>
            <w:vAlign w:val="center"/>
          </w:tcPr>
          <w:p w14:paraId="44F85F90" w14:textId="77777777" w:rsidR="0057309B" w:rsidRPr="0073431D" w:rsidRDefault="0057309B" w:rsidP="00F300B5">
            <w:pPr>
              <w:tabs>
                <w:tab w:val="num" w:pos="720"/>
              </w:tabs>
              <w:jc w:val="both"/>
              <w:rPr>
                <w:rFonts w:cs="Arial"/>
                <w:szCs w:val="22"/>
                <w:lang w:val="es-419"/>
              </w:rPr>
            </w:pPr>
            <w:r w:rsidRPr="0073431D">
              <w:rPr>
                <w:rFonts w:cs="Arial"/>
                <w:szCs w:val="22"/>
                <w:lang w:val="es-419"/>
              </w:rPr>
              <w:t xml:space="preserve">Receptivo. </w:t>
            </w:r>
            <w:r w:rsidRPr="0073431D">
              <w:rPr>
                <w:rFonts w:cs="Arial"/>
                <w:b/>
                <w:szCs w:val="22"/>
                <w:lang w:val="es-419"/>
              </w:rPr>
              <w:t>SIN</w:t>
            </w:r>
            <w:r w:rsidRPr="0073431D">
              <w:rPr>
                <w:rFonts w:cs="Arial"/>
                <w:szCs w:val="22"/>
                <w:lang w:val="es-419"/>
              </w:rPr>
              <w:t xml:space="preserve"> casos autóctono y </w:t>
            </w:r>
            <w:r w:rsidRPr="0073431D">
              <w:rPr>
                <w:rFonts w:cs="Arial"/>
                <w:b/>
                <w:szCs w:val="22"/>
                <w:lang w:val="es-419"/>
              </w:rPr>
              <w:t>CON</w:t>
            </w:r>
            <w:r w:rsidRPr="0073431D">
              <w:rPr>
                <w:rFonts w:cs="Arial"/>
                <w:szCs w:val="22"/>
                <w:lang w:val="es-419"/>
              </w:rPr>
              <w:t xml:space="preserve"> riesgo de importación de parásitos. </w:t>
            </w:r>
          </w:p>
        </w:tc>
      </w:tr>
      <w:tr w:rsidR="0057309B" w:rsidRPr="001C4943" w14:paraId="10C96A32" w14:textId="77777777" w:rsidTr="00A37217">
        <w:trPr>
          <w:trHeight w:val="424"/>
          <w:jc w:val="center"/>
        </w:trPr>
        <w:tc>
          <w:tcPr>
            <w:tcW w:w="1212" w:type="dxa"/>
            <w:vAlign w:val="center"/>
          </w:tcPr>
          <w:p w14:paraId="79FCCC1A" w14:textId="77777777" w:rsidR="0057309B" w:rsidRPr="0073431D" w:rsidRDefault="0057309B" w:rsidP="00F300B5">
            <w:pPr>
              <w:tabs>
                <w:tab w:val="num" w:pos="720"/>
              </w:tabs>
              <w:jc w:val="center"/>
              <w:rPr>
                <w:rFonts w:cs="Arial"/>
                <w:szCs w:val="22"/>
                <w:lang w:val="es-419"/>
              </w:rPr>
            </w:pPr>
            <w:r w:rsidRPr="0073431D">
              <w:rPr>
                <w:rFonts w:cs="Arial"/>
                <w:szCs w:val="22"/>
                <w:lang w:val="es-419"/>
              </w:rPr>
              <w:t>Estrato 4</w:t>
            </w:r>
          </w:p>
        </w:tc>
        <w:tc>
          <w:tcPr>
            <w:tcW w:w="8231" w:type="dxa"/>
            <w:vAlign w:val="center"/>
          </w:tcPr>
          <w:p w14:paraId="722F046B" w14:textId="77777777" w:rsidR="0057309B" w:rsidRPr="0073431D" w:rsidRDefault="0057309B" w:rsidP="00F300B5">
            <w:pPr>
              <w:tabs>
                <w:tab w:val="num" w:pos="720"/>
              </w:tabs>
              <w:jc w:val="both"/>
              <w:rPr>
                <w:rFonts w:cs="Arial"/>
                <w:szCs w:val="22"/>
                <w:lang w:val="es-419"/>
              </w:rPr>
            </w:pPr>
            <w:r w:rsidRPr="0073431D">
              <w:rPr>
                <w:rFonts w:cs="Arial"/>
                <w:szCs w:val="22"/>
                <w:lang w:val="es-419"/>
              </w:rPr>
              <w:t xml:space="preserve">Receptivo. </w:t>
            </w:r>
            <w:r w:rsidRPr="0073431D">
              <w:rPr>
                <w:rFonts w:cs="Arial"/>
                <w:b/>
                <w:szCs w:val="22"/>
                <w:lang w:val="es-419"/>
              </w:rPr>
              <w:t>CON</w:t>
            </w:r>
            <w:r w:rsidRPr="0073431D">
              <w:rPr>
                <w:rFonts w:cs="Arial"/>
                <w:szCs w:val="22"/>
                <w:lang w:val="es-419"/>
              </w:rPr>
              <w:t xml:space="preserve"> casos autóctono (incluye focos activos con </w:t>
            </w:r>
            <w:r w:rsidRPr="0073431D">
              <w:rPr>
                <w:rFonts w:cs="Arial"/>
                <w:b/>
                <w:szCs w:val="22"/>
                <w:lang w:val="es-419"/>
              </w:rPr>
              <w:t>MENO</w:t>
            </w:r>
            <w:r w:rsidRPr="0073431D">
              <w:rPr>
                <w:rFonts w:cs="Arial"/>
                <w:szCs w:val="22"/>
                <w:lang w:val="es-419"/>
              </w:rPr>
              <w:t>S de 3 casos por unidad de salud por semana y focos residuales).</w:t>
            </w:r>
          </w:p>
        </w:tc>
      </w:tr>
      <w:tr w:rsidR="0057309B" w:rsidRPr="001C4943" w14:paraId="3DA3FBC4" w14:textId="77777777" w:rsidTr="00A37217">
        <w:trPr>
          <w:trHeight w:val="413"/>
          <w:jc w:val="center"/>
        </w:trPr>
        <w:tc>
          <w:tcPr>
            <w:tcW w:w="1212" w:type="dxa"/>
            <w:vAlign w:val="center"/>
          </w:tcPr>
          <w:p w14:paraId="19FBB43E" w14:textId="77777777" w:rsidR="0057309B" w:rsidRPr="0073431D" w:rsidRDefault="0057309B" w:rsidP="00F300B5">
            <w:pPr>
              <w:tabs>
                <w:tab w:val="num" w:pos="720"/>
              </w:tabs>
              <w:jc w:val="center"/>
              <w:rPr>
                <w:rFonts w:cs="Arial"/>
                <w:szCs w:val="22"/>
                <w:lang w:val="es-419"/>
              </w:rPr>
            </w:pPr>
            <w:r w:rsidRPr="0073431D">
              <w:rPr>
                <w:rFonts w:cs="Arial"/>
                <w:szCs w:val="22"/>
                <w:lang w:val="es-419"/>
              </w:rPr>
              <w:t>Estrato 5</w:t>
            </w:r>
          </w:p>
        </w:tc>
        <w:tc>
          <w:tcPr>
            <w:tcW w:w="8231" w:type="dxa"/>
            <w:vAlign w:val="center"/>
          </w:tcPr>
          <w:p w14:paraId="683E6B37" w14:textId="77777777" w:rsidR="0057309B" w:rsidRPr="0073431D" w:rsidRDefault="0057309B" w:rsidP="00F300B5">
            <w:pPr>
              <w:tabs>
                <w:tab w:val="num" w:pos="720"/>
              </w:tabs>
              <w:jc w:val="both"/>
              <w:rPr>
                <w:rFonts w:cs="Arial"/>
                <w:szCs w:val="22"/>
                <w:lang w:val="es-419"/>
              </w:rPr>
            </w:pPr>
            <w:r w:rsidRPr="0073431D">
              <w:rPr>
                <w:rFonts w:cs="Arial"/>
                <w:szCs w:val="22"/>
                <w:lang w:val="es-419"/>
              </w:rPr>
              <w:t xml:space="preserve">Receptivo. </w:t>
            </w:r>
            <w:r w:rsidRPr="0073431D">
              <w:rPr>
                <w:rFonts w:cs="Arial"/>
                <w:b/>
                <w:szCs w:val="22"/>
                <w:lang w:val="es-419"/>
              </w:rPr>
              <w:t>CON</w:t>
            </w:r>
            <w:r w:rsidRPr="0073431D">
              <w:rPr>
                <w:rFonts w:cs="Arial"/>
                <w:szCs w:val="22"/>
                <w:lang w:val="es-419"/>
              </w:rPr>
              <w:t xml:space="preserve"> casos autóctono (incluye focos activos con </w:t>
            </w:r>
            <w:r w:rsidRPr="0073431D">
              <w:rPr>
                <w:rFonts w:cs="Arial"/>
                <w:b/>
                <w:szCs w:val="22"/>
                <w:lang w:val="es-419"/>
              </w:rPr>
              <w:t>MAS</w:t>
            </w:r>
            <w:r w:rsidRPr="0073431D">
              <w:rPr>
                <w:rFonts w:cs="Arial"/>
                <w:szCs w:val="22"/>
                <w:lang w:val="es-419"/>
              </w:rPr>
              <w:t xml:space="preserve"> de 3 casos por unidad de salud por semana).</w:t>
            </w:r>
          </w:p>
        </w:tc>
      </w:tr>
    </w:tbl>
    <w:p w14:paraId="56FE5F6D" w14:textId="77777777" w:rsidR="00915460" w:rsidRPr="0073431D" w:rsidRDefault="00915460" w:rsidP="00762014">
      <w:pPr>
        <w:autoSpaceDE w:val="0"/>
        <w:autoSpaceDN w:val="0"/>
        <w:adjustRightInd w:val="0"/>
        <w:spacing w:after="120"/>
        <w:jc w:val="both"/>
        <w:rPr>
          <w:snapToGrid w:val="0"/>
          <w:sz w:val="24"/>
          <w:szCs w:val="22"/>
          <w:lang w:val="es-ES" w:eastAsia="es-ES"/>
        </w:rPr>
      </w:pPr>
    </w:p>
    <w:p w14:paraId="779FAE8A" w14:textId="77777777" w:rsidR="0071612E" w:rsidRPr="0073431D" w:rsidRDefault="0071612E" w:rsidP="0071612E">
      <w:pPr>
        <w:jc w:val="both"/>
        <w:rPr>
          <w:rFonts w:ascii="Times New Roman" w:hAnsi="Times New Roman"/>
          <w:sz w:val="24"/>
          <w:lang w:val="es-ES_tradnl" w:eastAsia="es-NI"/>
        </w:rPr>
      </w:pPr>
      <w:r w:rsidRPr="0073431D">
        <w:rPr>
          <w:rFonts w:ascii="Times New Roman" w:hAnsi="Times New Roman"/>
          <w:sz w:val="24"/>
          <w:lang w:val="es-ES_tradnl" w:eastAsia="es-NI"/>
        </w:rPr>
        <w:t>Para la nueva subvención se fortalecerá la estrategia del DTI-R, esta se implementa en Nicaragua desde el año 2019 en el marco del Modelo de Atención en Salud-</w:t>
      </w:r>
      <w:r w:rsidRPr="008137D1">
        <w:rPr>
          <w:rFonts w:ascii="Times New Roman" w:hAnsi="Times New Roman"/>
          <w:sz w:val="24"/>
          <w:lang w:val="es-ES_tradnl" w:eastAsia="es-NI"/>
        </w:rPr>
        <w:t>MOSAF</w:t>
      </w:r>
      <w:r w:rsidR="001148FE" w:rsidRPr="008137D1">
        <w:rPr>
          <w:rFonts w:ascii="Times New Roman" w:hAnsi="Times New Roman"/>
          <w:sz w:val="24"/>
          <w:lang w:val="es-ES_tradnl" w:eastAsia="es-NI"/>
        </w:rPr>
        <w:t>C</w:t>
      </w:r>
      <w:r w:rsidRPr="008137D1">
        <w:rPr>
          <w:rFonts w:ascii="Times New Roman" w:hAnsi="Times New Roman"/>
          <w:sz w:val="24"/>
          <w:lang w:val="es-ES_tradnl" w:eastAsia="es-NI"/>
        </w:rPr>
        <w:t>,</w:t>
      </w:r>
      <w:r w:rsidRPr="0073431D">
        <w:rPr>
          <w:rFonts w:ascii="Times New Roman" w:hAnsi="Times New Roman"/>
          <w:sz w:val="24"/>
          <w:lang w:val="es-ES_tradnl" w:eastAsia="es-NI"/>
        </w:rPr>
        <w:t xml:space="preserve"> esta estrategia su aplicación fue más intensa en los sitios de focos activos a través de los Grupos Integrales de Salud Intercultural - GISI que organiza la atención en el nivel local. En cambio, en los otros municipios que no tienen focos activos la estrategia no está desarrollada en su totalidad, por el cual en esta subvención será fortalecida.</w:t>
      </w:r>
    </w:p>
    <w:p w14:paraId="43F7CB16" w14:textId="77777777" w:rsidR="0071612E" w:rsidRPr="0073431D" w:rsidRDefault="0071612E" w:rsidP="0071612E">
      <w:pPr>
        <w:jc w:val="both"/>
        <w:rPr>
          <w:rFonts w:ascii="Arial" w:hAnsi="Arial" w:cs="Arial"/>
          <w:lang w:val="es-419"/>
        </w:rPr>
      </w:pPr>
    </w:p>
    <w:p w14:paraId="1436D4A6" w14:textId="77777777" w:rsidR="0071612E" w:rsidRPr="0073431D" w:rsidRDefault="0071612E" w:rsidP="0071612E">
      <w:pPr>
        <w:jc w:val="both"/>
        <w:rPr>
          <w:rFonts w:ascii="Times New Roman" w:hAnsi="Times New Roman"/>
          <w:b/>
          <w:snapToGrid w:val="0"/>
          <w:sz w:val="24"/>
          <w:lang w:val="es-ES_tradnl" w:eastAsia="es-ES"/>
        </w:rPr>
      </w:pPr>
      <w:r w:rsidRPr="0073431D">
        <w:rPr>
          <w:rFonts w:ascii="Times New Roman" w:hAnsi="Times New Roman"/>
          <w:b/>
          <w:snapToGrid w:val="0"/>
          <w:sz w:val="24"/>
          <w:lang w:val="es-ES_tradnl" w:eastAsia="es-ES"/>
        </w:rPr>
        <w:t>Priorización de Municipios para la nueva subvención 2022 – 2024</w:t>
      </w:r>
    </w:p>
    <w:p w14:paraId="1688ACFD" w14:textId="77777777" w:rsidR="0071612E" w:rsidRPr="0073431D" w:rsidRDefault="0071612E" w:rsidP="0071612E">
      <w:pPr>
        <w:jc w:val="both"/>
        <w:rPr>
          <w:rFonts w:ascii="Times New Roman" w:hAnsi="Times New Roman"/>
          <w:sz w:val="24"/>
          <w:lang w:val="es-ES_tradnl" w:eastAsia="es-NI"/>
        </w:rPr>
      </w:pPr>
    </w:p>
    <w:p w14:paraId="146120BB" w14:textId="77777777" w:rsidR="0071612E" w:rsidRPr="0073431D" w:rsidRDefault="0071612E" w:rsidP="0071612E">
      <w:pPr>
        <w:jc w:val="both"/>
        <w:rPr>
          <w:rFonts w:ascii="Times New Roman" w:hAnsi="Times New Roman"/>
          <w:sz w:val="24"/>
          <w:lang w:val="es-ES_tradnl" w:eastAsia="es-NI"/>
        </w:rPr>
      </w:pPr>
      <w:r w:rsidRPr="0073431D">
        <w:rPr>
          <w:rFonts w:ascii="Times New Roman" w:hAnsi="Times New Roman"/>
          <w:sz w:val="24"/>
          <w:lang w:val="es-ES_tradnl" w:eastAsia="es-NI"/>
        </w:rPr>
        <w:t xml:space="preserve">Selección de ocho municipios en tres SILAIS, seis municipios de la solicitud de financiamiento anterior y dos se ingresan nuevos, siendo de la siguiente manera: </w:t>
      </w:r>
    </w:p>
    <w:p w14:paraId="6D316FF6" w14:textId="77777777" w:rsidR="0071612E" w:rsidRPr="0073431D" w:rsidRDefault="0071612E" w:rsidP="0071612E">
      <w:pPr>
        <w:jc w:val="both"/>
        <w:rPr>
          <w:rFonts w:ascii="Times New Roman" w:hAnsi="Times New Roman"/>
          <w:sz w:val="24"/>
          <w:lang w:val="es-ES_tradnl" w:eastAsia="es-NI"/>
        </w:rPr>
      </w:pPr>
    </w:p>
    <w:p w14:paraId="1CA11BE4" w14:textId="77777777" w:rsidR="0071612E" w:rsidRPr="0073431D" w:rsidRDefault="0071612E" w:rsidP="0071612E">
      <w:pPr>
        <w:pStyle w:val="ListParagraph"/>
        <w:numPr>
          <w:ilvl w:val="0"/>
          <w:numId w:val="40"/>
        </w:numPr>
        <w:spacing w:after="120"/>
        <w:jc w:val="both"/>
        <w:rPr>
          <w:rFonts w:ascii="Times New Roman" w:hAnsi="Times New Roman"/>
          <w:sz w:val="24"/>
          <w:szCs w:val="24"/>
          <w:lang w:val="es-ES_tradnl" w:eastAsia="es-NI"/>
        </w:rPr>
      </w:pPr>
      <w:r w:rsidRPr="0073431D">
        <w:rPr>
          <w:rFonts w:ascii="Times New Roman" w:hAnsi="Times New Roman"/>
          <w:sz w:val="24"/>
          <w:szCs w:val="24"/>
          <w:lang w:val="es-ES_tradnl" w:eastAsia="es-NI"/>
        </w:rPr>
        <w:t xml:space="preserve">SILAIS BILWI: municipios de Puerto Cabezas, Waspam y Prinzapolka. </w:t>
      </w:r>
    </w:p>
    <w:p w14:paraId="6BB7C67A" w14:textId="77777777" w:rsidR="0071612E" w:rsidRPr="0073431D" w:rsidRDefault="0071612E" w:rsidP="0071612E">
      <w:pPr>
        <w:pStyle w:val="ListParagraph"/>
        <w:numPr>
          <w:ilvl w:val="0"/>
          <w:numId w:val="40"/>
        </w:numPr>
        <w:spacing w:after="120"/>
        <w:jc w:val="both"/>
        <w:rPr>
          <w:rFonts w:ascii="Times New Roman" w:hAnsi="Times New Roman"/>
          <w:sz w:val="24"/>
          <w:szCs w:val="24"/>
          <w:lang w:val="es-ES_tradnl" w:eastAsia="es-NI"/>
        </w:rPr>
      </w:pPr>
      <w:r w:rsidRPr="0073431D">
        <w:rPr>
          <w:rFonts w:ascii="Times New Roman" w:hAnsi="Times New Roman"/>
          <w:sz w:val="24"/>
          <w:szCs w:val="24"/>
          <w:lang w:val="es-ES_tradnl" w:eastAsia="es-NI"/>
        </w:rPr>
        <w:t xml:space="preserve">SILAIS Las Minas: municipios de Bonanza, Rosita y Siuna, y </w:t>
      </w:r>
    </w:p>
    <w:p w14:paraId="04462F8F" w14:textId="77777777" w:rsidR="0071612E" w:rsidRPr="0073431D" w:rsidRDefault="0071612E" w:rsidP="0071612E">
      <w:pPr>
        <w:pStyle w:val="ListParagraph"/>
        <w:numPr>
          <w:ilvl w:val="0"/>
          <w:numId w:val="40"/>
        </w:numPr>
        <w:spacing w:after="120"/>
        <w:jc w:val="both"/>
        <w:rPr>
          <w:rFonts w:ascii="Times New Roman" w:hAnsi="Times New Roman"/>
          <w:sz w:val="24"/>
          <w:szCs w:val="24"/>
          <w:lang w:val="es-ES_tradnl" w:eastAsia="es-NI"/>
        </w:rPr>
      </w:pPr>
      <w:r w:rsidRPr="0073431D">
        <w:rPr>
          <w:rFonts w:ascii="Times New Roman" w:hAnsi="Times New Roman"/>
          <w:sz w:val="24"/>
          <w:szCs w:val="24"/>
          <w:lang w:val="es-ES_tradnl" w:eastAsia="es-NI"/>
        </w:rPr>
        <w:t>SILAIS RACCS: municipios de Laguna de Perlas y La Desembocadura de Río Grande</w:t>
      </w:r>
    </w:p>
    <w:p w14:paraId="139B3088" w14:textId="77777777" w:rsidR="009E005D" w:rsidRPr="0073431D" w:rsidRDefault="00935906" w:rsidP="00E14DE2">
      <w:pPr>
        <w:widowControl w:val="0"/>
        <w:spacing w:before="240" w:after="240"/>
        <w:ind w:left="66"/>
        <w:jc w:val="both"/>
        <w:rPr>
          <w:rFonts w:ascii="Times New Roman" w:hAnsi="Times New Roman"/>
          <w:b/>
          <w:snapToGrid w:val="0"/>
          <w:sz w:val="24"/>
          <w:lang w:val="es-ES_tradnl" w:eastAsia="es-ES"/>
        </w:rPr>
      </w:pPr>
      <w:r w:rsidRPr="0073431D">
        <w:rPr>
          <w:rFonts w:ascii="Times New Roman" w:hAnsi="Times New Roman"/>
          <w:b/>
          <w:snapToGrid w:val="0"/>
          <w:sz w:val="24"/>
          <w:lang w:val="es-ES_tradnl" w:eastAsia="es-ES"/>
        </w:rPr>
        <w:t>Metas de la subvención/p</w:t>
      </w:r>
      <w:r w:rsidR="009E005D" w:rsidRPr="0073431D">
        <w:rPr>
          <w:rFonts w:ascii="Times New Roman" w:hAnsi="Times New Roman"/>
          <w:b/>
          <w:snapToGrid w:val="0"/>
          <w:sz w:val="24"/>
          <w:lang w:val="es-ES_tradnl" w:eastAsia="es-ES"/>
        </w:rPr>
        <w:t xml:space="preserve">rograma </w:t>
      </w:r>
    </w:p>
    <w:p w14:paraId="43A191FF" w14:textId="77777777" w:rsidR="002E07FD" w:rsidRPr="0073431D" w:rsidRDefault="0087454C" w:rsidP="002E07FD">
      <w:pPr>
        <w:autoSpaceDE w:val="0"/>
        <w:autoSpaceDN w:val="0"/>
        <w:adjustRightInd w:val="0"/>
        <w:spacing w:after="120"/>
        <w:jc w:val="both"/>
        <w:rPr>
          <w:rFonts w:ascii="Times New Roman" w:hAnsi="Times New Roman"/>
          <w:snapToGrid w:val="0"/>
          <w:sz w:val="24"/>
          <w:lang w:val="es-ES" w:eastAsia="es-ES"/>
        </w:rPr>
      </w:pPr>
      <w:r w:rsidRPr="0073431D">
        <w:rPr>
          <w:rFonts w:ascii="Times New Roman" w:hAnsi="Times New Roman"/>
          <w:snapToGrid w:val="0"/>
          <w:sz w:val="24"/>
          <w:lang w:val="es-ES" w:eastAsia="es-ES"/>
        </w:rPr>
        <w:t>El país establece</w:t>
      </w:r>
      <w:r w:rsidR="00426C7A" w:rsidRPr="0073431D">
        <w:rPr>
          <w:rFonts w:ascii="Times New Roman" w:hAnsi="Times New Roman"/>
          <w:snapToGrid w:val="0"/>
          <w:sz w:val="24"/>
          <w:lang w:val="es-ES" w:eastAsia="es-ES"/>
        </w:rPr>
        <w:t xml:space="preserve"> </w:t>
      </w:r>
      <w:r w:rsidR="00F2650C" w:rsidRPr="0073431D">
        <w:rPr>
          <w:rFonts w:ascii="Times New Roman" w:hAnsi="Times New Roman"/>
          <w:snapToGrid w:val="0"/>
          <w:sz w:val="24"/>
          <w:lang w:val="es-ES" w:eastAsia="es-ES"/>
        </w:rPr>
        <w:t>Metas de acuerdo al PENM 2019-2025</w:t>
      </w:r>
      <w:r w:rsidR="002E07FD" w:rsidRPr="0073431D">
        <w:rPr>
          <w:rFonts w:ascii="Times New Roman" w:hAnsi="Times New Roman"/>
          <w:snapToGrid w:val="0"/>
          <w:sz w:val="24"/>
          <w:lang w:val="es-ES" w:eastAsia="es-ES"/>
        </w:rPr>
        <w:t>.</w:t>
      </w:r>
    </w:p>
    <w:p w14:paraId="286AAD25" w14:textId="77777777" w:rsidR="0087454C" w:rsidRPr="0073431D" w:rsidRDefault="002E07FD" w:rsidP="00762014">
      <w:pPr>
        <w:pStyle w:val="ListParagraph"/>
        <w:numPr>
          <w:ilvl w:val="0"/>
          <w:numId w:val="6"/>
        </w:numPr>
        <w:autoSpaceDE w:val="0"/>
        <w:autoSpaceDN w:val="0"/>
        <w:adjustRightInd w:val="0"/>
        <w:spacing w:after="120"/>
        <w:jc w:val="both"/>
        <w:rPr>
          <w:rFonts w:ascii="Times New Roman" w:hAnsi="Times New Roman"/>
          <w:snapToGrid w:val="0"/>
          <w:sz w:val="24"/>
          <w:szCs w:val="24"/>
          <w:lang w:val="es-ES" w:eastAsia="es-ES"/>
        </w:rPr>
      </w:pPr>
      <w:r w:rsidRPr="0073431D">
        <w:rPr>
          <w:rFonts w:ascii="Times New Roman" w:hAnsi="Times New Roman"/>
          <w:snapToGrid w:val="0"/>
          <w:sz w:val="24"/>
          <w:szCs w:val="24"/>
          <w:lang w:val="es-ES" w:eastAsia="es-ES"/>
        </w:rPr>
        <w:t xml:space="preserve">Reducción de los casos de malaria de transmisión local, </w:t>
      </w:r>
      <w:r w:rsidR="0087454C" w:rsidRPr="0073431D">
        <w:rPr>
          <w:rFonts w:ascii="Times New Roman" w:hAnsi="Times New Roman"/>
          <w:snapToGrid w:val="0"/>
          <w:sz w:val="24"/>
          <w:szCs w:val="24"/>
          <w:lang w:val="es-ES" w:eastAsia="es-ES"/>
        </w:rPr>
        <w:t xml:space="preserve">para el año 2022 una </w:t>
      </w:r>
      <w:r w:rsidRPr="0073431D">
        <w:rPr>
          <w:rFonts w:ascii="Times New Roman" w:hAnsi="Times New Roman"/>
          <w:snapToGrid w:val="0"/>
          <w:sz w:val="24"/>
          <w:szCs w:val="24"/>
          <w:lang w:val="es-ES" w:eastAsia="es-ES"/>
        </w:rPr>
        <w:t>reducción de</w:t>
      </w:r>
      <w:r w:rsidR="0087454C" w:rsidRPr="0073431D">
        <w:rPr>
          <w:rFonts w:ascii="Times New Roman" w:hAnsi="Times New Roman"/>
          <w:snapToGrid w:val="0"/>
          <w:sz w:val="24"/>
          <w:szCs w:val="24"/>
          <w:lang w:val="es-ES" w:eastAsia="es-ES"/>
        </w:rPr>
        <w:t xml:space="preserve"> 39%</w:t>
      </w:r>
      <w:r w:rsidRPr="0073431D">
        <w:rPr>
          <w:rFonts w:ascii="Times New Roman" w:hAnsi="Times New Roman"/>
          <w:snapToGrid w:val="0"/>
          <w:sz w:val="24"/>
          <w:szCs w:val="24"/>
          <w:lang w:val="es-ES" w:eastAsia="es-ES"/>
        </w:rPr>
        <w:t xml:space="preserve"> (15,485)</w:t>
      </w:r>
      <w:r w:rsidR="0087454C" w:rsidRPr="0073431D">
        <w:rPr>
          <w:rFonts w:ascii="Times New Roman" w:hAnsi="Times New Roman"/>
          <w:snapToGrid w:val="0"/>
          <w:sz w:val="24"/>
          <w:szCs w:val="24"/>
          <w:lang w:val="es-ES" w:eastAsia="es-ES"/>
        </w:rPr>
        <w:t>, para el año 2023 el 56%</w:t>
      </w:r>
      <w:r w:rsidRPr="0073431D">
        <w:rPr>
          <w:rFonts w:ascii="Times New Roman" w:hAnsi="Times New Roman"/>
          <w:snapToGrid w:val="0"/>
          <w:sz w:val="24"/>
          <w:szCs w:val="24"/>
          <w:lang w:val="es-ES" w:eastAsia="es-ES"/>
        </w:rPr>
        <w:t xml:space="preserve"> (11,356)</w:t>
      </w:r>
      <w:r w:rsidR="0087454C" w:rsidRPr="0073431D">
        <w:rPr>
          <w:rFonts w:ascii="Times New Roman" w:hAnsi="Times New Roman"/>
          <w:snapToGrid w:val="0"/>
          <w:sz w:val="24"/>
          <w:szCs w:val="24"/>
          <w:lang w:val="es-ES" w:eastAsia="es-ES"/>
        </w:rPr>
        <w:t xml:space="preserve"> y en el 2024 el 68%</w:t>
      </w:r>
      <w:r w:rsidRPr="0073431D">
        <w:rPr>
          <w:rFonts w:ascii="Times New Roman" w:hAnsi="Times New Roman"/>
          <w:snapToGrid w:val="0"/>
          <w:sz w:val="24"/>
          <w:szCs w:val="24"/>
          <w:lang w:val="es-ES" w:eastAsia="es-ES"/>
        </w:rPr>
        <w:t xml:space="preserve"> (8,259)</w:t>
      </w:r>
      <w:r w:rsidR="0087454C" w:rsidRPr="0073431D">
        <w:rPr>
          <w:rFonts w:ascii="Times New Roman" w:hAnsi="Times New Roman"/>
          <w:snapToGrid w:val="0"/>
          <w:sz w:val="24"/>
          <w:szCs w:val="24"/>
          <w:lang w:val="es-ES" w:eastAsia="es-ES"/>
        </w:rPr>
        <w:t>.</w:t>
      </w:r>
    </w:p>
    <w:p w14:paraId="1F811F30" w14:textId="77777777" w:rsidR="00F2650C" w:rsidRPr="0073431D" w:rsidRDefault="00F2650C" w:rsidP="00762014">
      <w:pPr>
        <w:pStyle w:val="ListParagraph"/>
        <w:numPr>
          <w:ilvl w:val="0"/>
          <w:numId w:val="6"/>
        </w:numPr>
        <w:autoSpaceDE w:val="0"/>
        <w:autoSpaceDN w:val="0"/>
        <w:adjustRightInd w:val="0"/>
        <w:spacing w:after="120"/>
        <w:jc w:val="both"/>
        <w:rPr>
          <w:rFonts w:ascii="Times New Roman" w:hAnsi="Times New Roman"/>
          <w:snapToGrid w:val="0"/>
          <w:sz w:val="24"/>
          <w:szCs w:val="24"/>
          <w:lang w:val="es-ES" w:eastAsia="es-ES"/>
        </w:rPr>
      </w:pPr>
      <w:r w:rsidRPr="0073431D">
        <w:rPr>
          <w:rFonts w:ascii="Times New Roman" w:hAnsi="Times New Roman"/>
          <w:snapToGrid w:val="0"/>
          <w:sz w:val="24"/>
          <w:szCs w:val="24"/>
          <w:lang w:val="es-ES" w:eastAsia="es-ES"/>
        </w:rPr>
        <w:t>Al 2025 Cero muertes por Malaria</w:t>
      </w:r>
    </w:p>
    <w:p w14:paraId="37963780" w14:textId="77777777" w:rsidR="00D50D89" w:rsidRPr="0073431D" w:rsidRDefault="00C12D5E" w:rsidP="00BC7DF5">
      <w:pPr>
        <w:autoSpaceDE w:val="0"/>
        <w:autoSpaceDN w:val="0"/>
        <w:adjustRightInd w:val="0"/>
        <w:spacing w:after="120"/>
        <w:jc w:val="both"/>
        <w:rPr>
          <w:snapToGrid w:val="0"/>
          <w:sz w:val="24"/>
          <w:szCs w:val="22"/>
          <w:lang w:val="es-ES" w:eastAsia="es-ES"/>
        </w:rPr>
      </w:pPr>
      <w:r w:rsidRPr="0073431D">
        <w:rPr>
          <w:snapToGrid w:val="0"/>
          <w:sz w:val="24"/>
          <w:szCs w:val="22"/>
          <w:lang w:val="es-ES" w:eastAsia="es-ES"/>
        </w:rPr>
        <w:t>Y cuenta con los siguientes objetivos:</w:t>
      </w:r>
    </w:p>
    <w:p w14:paraId="18DBF2C8" w14:textId="77777777" w:rsidR="002E07FD" w:rsidRPr="0073431D" w:rsidRDefault="002E07FD" w:rsidP="00762014">
      <w:pPr>
        <w:pStyle w:val="ListParagraph"/>
        <w:widowControl w:val="0"/>
        <w:numPr>
          <w:ilvl w:val="0"/>
          <w:numId w:val="8"/>
        </w:numPr>
        <w:spacing w:after="120"/>
        <w:jc w:val="both"/>
        <w:rPr>
          <w:snapToGrid w:val="0"/>
          <w:sz w:val="24"/>
          <w:lang w:val="es-ES_tradnl" w:eastAsia="es-ES"/>
        </w:rPr>
      </w:pPr>
      <w:r w:rsidRPr="0073431D">
        <w:rPr>
          <w:snapToGrid w:val="0"/>
          <w:sz w:val="24"/>
          <w:lang w:val="es-ES_tradnl" w:eastAsia="es-ES"/>
        </w:rPr>
        <w:t>Asegurar el acceso universal desde el Modelo de Salud Familiar y Comunitaria (MOSAFC) implementando la estrategia del DTI-R para la eliminación de la Malaria en Nicaragua.</w:t>
      </w:r>
    </w:p>
    <w:p w14:paraId="48FDAEDC" w14:textId="77777777" w:rsidR="002E07FD" w:rsidRPr="0073431D" w:rsidRDefault="002E07FD" w:rsidP="00762014">
      <w:pPr>
        <w:pStyle w:val="ListParagraph"/>
        <w:widowControl w:val="0"/>
        <w:numPr>
          <w:ilvl w:val="0"/>
          <w:numId w:val="8"/>
        </w:numPr>
        <w:spacing w:after="120"/>
        <w:jc w:val="both"/>
        <w:rPr>
          <w:snapToGrid w:val="0"/>
          <w:sz w:val="24"/>
          <w:lang w:val="es-ES_tradnl" w:eastAsia="es-ES"/>
        </w:rPr>
      </w:pPr>
      <w:r w:rsidRPr="0073431D">
        <w:rPr>
          <w:snapToGrid w:val="0"/>
          <w:sz w:val="24"/>
          <w:lang w:val="es-ES_tradnl" w:eastAsia="es-ES"/>
        </w:rPr>
        <w:t>Fortalecer la gestión para el análisis de los focos de forma periódica y dinámica, integrando el sistema de vigilancia epidemiológica, parasitológica, entomológica, según la intensidad de transmisión en los territorios, garantizando la estratificación de riesgo de malaria a nivel nacional y las acciones de control.</w:t>
      </w:r>
    </w:p>
    <w:p w14:paraId="4729FD59" w14:textId="77777777" w:rsidR="002E07FD" w:rsidRPr="0073431D" w:rsidRDefault="002E07FD" w:rsidP="00762014">
      <w:pPr>
        <w:pStyle w:val="ListParagraph"/>
        <w:widowControl w:val="0"/>
        <w:numPr>
          <w:ilvl w:val="0"/>
          <w:numId w:val="8"/>
        </w:numPr>
        <w:spacing w:after="120"/>
        <w:jc w:val="both"/>
        <w:rPr>
          <w:snapToGrid w:val="0"/>
          <w:sz w:val="24"/>
          <w:lang w:val="es-ES_tradnl" w:eastAsia="es-ES"/>
        </w:rPr>
      </w:pPr>
      <w:r w:rsidRPr="0073431D">
        <w:rPr>
          <w:snapToGrid w:val="0"/>
          <w:sz w:val="24"/>
          <w:lang w:val="es-ES_tradnl" w:eastAsia="es-ES"/>
        </w:rPr>
        <w:t>Acelerar los esfuerzos para el fortalecimiento de un entorno favorable hacia la eliminación de la malaria con la participación comunitaria, cambio de comportamiento, investigación, asociaciones estratégicas intersectoriales (sector gobierno y sector privado), y acuerdos binacionales.</w:t>
      </w:r>
      <w:r w:rsidR="00623921">
        <w:rPr>
          <w:snapToGrid w:val="0"/>
          <w:sz w:val="24"/>
          <w:lang w:val="es-ES_tradnl" w:eastAsia="es-ES"/>
        </w:rPr>
        <w:t xml:space="preserve">   </w:t>
      </w:r>
    </w:p>
    <w:p w14:paraId="30E9077D" w14:textId="77777777" w:rsidR="00D50D89" w:rsidRPr="0073431D" w:rsidRDefault="00935906" w:rsidP="00762014">
      <w:pPr>
        <w:pStyle w:val="ListParagraph"/>
        <w:widowControl w:val="0"/>
        <w:spacing w:before="240" w:after="240"/>
        <w:ind w:left="0"/>
        <w:jc w:val="both"/>
        <w:rPr>
          <w:rFonts w:cs="Arial"/>
          <w:b/>
          <w:snapToGrid w:val="0"/>
          <w:sz w:val="24"/>
          <w:lang w:val="es-ES_tradnl" w:eastAsia="es-ES"/>
        </w:rPr>
      </w:pPr>
      <w:r w:rsidRPr="0073431D">
        <w:rPr>
          <w:rFonts w:cs="Arial"/>
          <w:b/>
          <w:snapToGrid w:val="0"/>
          <w:sz w:val="24"/>
          <w:lang w:val="es-ES_tradnl" w:eastAsia="es-ES"/>
        </w:rPr>
        <w:t>P</w:t>
      </w:r>
      <w:r w:rsidR="005319FD" w:rsidRPr="0073431D">
        <w:rPr>
          <w:rFonts w:cs="Arial"/>
          <w:b/>
          <w:snapToGrid w:val="0"/>
          <w:sz w:val="24"/>
          <w:lang w:val="es-ES_tradnl" w:eastAsia="es-ES"/>
        </w:rPr>
        <w:t xml:space="preserve">rincipales </w:t>
      </w:r>
      <w:r w:rsidR="00C54A4C" w:rsidRPr="0073431D">
        <w:rPr>
          <w:rFonts w:cs="Arial"/>
          <w:b/>
          <w:snapToGrid w:val="0"/>
          <w:sz w:val="24"/>
          <w:lang w:val="es-ES_tradnl" w:eastAsia="es-ES"/>
        </w:rPr>
        <w:t xml:space="preserve">Intervenciones </w:t>
      </w:r>
      <w:r w:rsidRPr="0073431D">
        <w:rPr>
          <w:rFonts w:cs="Arial"/>
          <w:b/>
          <w:snapToGrid w:val="0"/>
          <w:sz w:val="24"/>
          <w:lang w:val="es-ES_tradnl" w:eastAsia="es-ES"/>
        </w:rPr>
        <w:t>y</w:t>
      </w:r>
      <w:r w:rsidR="00C54A4C" w:rsidRPr="0073431D">
        <w:rPr>
          <w:rFonts w:cs="Arial"/>
          <w:b/>
          <w:snapToGrid w:val="0"/>
          <w:sz w:val="24"/>
          <w:lang w:val="es-ES_tradnl" w:eastAsia="es-ES"/>
        </w:rPr>
        <w:t xml:space="preserve"> actividades </w:t>
      </w:r>
      <w:r w:rsidRPr="0073431D">
        <w:rPr>
          <w:rFonts w:cs="Arial"/>
          <w:b/>
          <w:snapToGrid w:val="0"/>
          <w:sz w:val="24"/>
          <w:lang w:val="es-ES_tradnl" w:eastAsia="es-ES"/>
        </w:rPr>
        <w:t>contemplados en la subvención.</w:t>
      </w:r>
    </w:p>
    <w:p w14:paraId="76D11D2D" w14:textId="77777777" w:rsidR="00A10B70" w:rsidRPr="0073431D" w:rsidRDefault="00384088" w:rsidP="00A10B70">
      <w:pPr>
        <w:spacing w:after="120"/>
        <w:contextualSpacing/>
        <w:rPr>
          <w:snapToGrid w:val="0"/>
          <w:sz w:val="24"/>
          <w:szCs w:val="22"/>
          <w:lang w:val="es-ES_tradnl" w:eastAsia="es-ES"/>
        </w:rPr>
      </w:pPr>
      <w:r w:rsidRPr="0073431D">
        <w:rPr>
          <w:rFonts w:eastAsia="SimSun" w:cs="Arial"/>
          <w:b/>
          <w:i/>
          <w:sz w:val="24"/>
          <w:szCs w:val="22"/>
          <w:lang w:val="es-ES"/>
        </w:rPr>
        <w:t>i</w:t>
      </w:r>
      <w:r w:rsidRPr="0073431D">
        <w:rPr>
          <w:rFonts w:eastAsia="SimSun" w:cs="Arial"/>
          <w:sz w:val="24"/>
          <w:szCs w:val="22"/>
          <w:lang w:val="es-ES"/>
        </w:rPr>
        <w:t xml:space="preserve">. </w:t>
      </w:r>
      <w:r w:rsidR="00A10B70" w:rsidRPr="0073431D">
        <w:rPr>
          <w:rFonts w:eastAsia="SimSun" w:cs="Arial"/>
          <w:b/>
          <w:sz w:val="24"/>
          <w:szCs w:val="22"/>
          <w:lang w:val="es-ES"/>
        </w:rPr>
        <w:t xml:space="preserve">Gestión de casos; </w:t>
      </w:r>
      <w:r w:rsidR="00A10B70" w:rsidRPr="0073431D">
        <w:rPr>
          <w:snapToGrid w:val="0"/>
          <w:sz w:val="24"/>
          <w:szCs w:val="22"/>
          <w:lang w:val="es-ES_tradnl" w:eastAsia="es-ES"/>
        </w:rPr>
        <w:t>esta intervención incluye:</w:t>
      </w:r>
    </w:p>
    <w:p w14:paraId="4F592E39" w14:textId="77777777" w:rsidR="004835C9" w:rsidRPr="0073431D" w:rsidRDefault="00A10B70" w:rsidP="00954BC0">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Fortalecimiento de las acciones de la estrategia del DTIR</w:t>
      </w:r>
      <w:r w:rsidR="004835C9" w:rsidRPr="0073431D">
        <w:rPr>
          <w:snapToGrid w:val="0"/>
          <w:sz w:val="24"/>
          <w:lang w:val="es-ES_tradnl" w:eastAsia="es-ES"/>
        </w:rPr>
        <w:t xml:space="preserve">, a través de capacitaciones </w:t>
      </w:r>
      <w:r w:rsidRPr="0073431D">
        <w:rPr>
          <w:snapToGrid w:val="0"/>
          <w:sz w:val="24"/>
          <w:lang w:val="es-ES_tradnl" w:eastAsia="es-ES"/>
        </w:rPr>
        <w:t>y entrenamiento en temas del DTIR</w:t>
      </w:r>
      <w:r w:rsidR="004835C9" w:rsidRPr="0073431D">
        <w:rPr>
          <w:snapToGrid w:val="0"/>
          <w:sz w:val="24"/>
          <w:lang w:val="es-ES_tradnl" w:eastAsia="es-ES"/>
        </w:rPr>
        <w:t>.</w:t>
      </w:r>
    </w:p>
    <w:p w14:paraId="2B4F29AF" w14:textId="77777777" w:rsidR="004835C9" w:rsidRPr="0073431D" w:rsidRDefault="004835C9" w:rsidP="00954BC0">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D</w:t>
      </w:r>
      <w:r w:rsidR="00A10B70" w:rsidRPr="0073431D">
        <w:rPr>
          <w:snapToGrid w:val="0"/>
          <w:sz w:val="24"/>
          <w:lang w:val="es-ES_tradnl" w:eastAsia="es-ES"/>
        </w:rPr>
        <w:t>otación de insumos o materiales para el muestreo hemático</w:t>
      </w:r>
      <w:r w:rsidRPr="0073431D">
        <w:rPr>
          <w:snapToGrid w:val="0"/>
          <w:sz w:val="24"/>
          <w:lang w:val="es-ES_tradnl" w:eastAsia="es-ES"/>
        </w:rPr>
        <w:t xml:space="preserve"> (laminas porta objetos y lancetas)</w:t>
      </w:r>
    </w:p>
    <w:p w14:paraId="16FEE469" w14:textId="77777777" w:rsidR="004835C9" w:rsidRPr="0073431D" w:rsidRDefault="004835C9" w:rsidP="00954BC0">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Compra de</w:t>
      </w:r>
      <w:r w:rsidR="00A10B70" w:rsidRPr="0073431D">
        <w:rPr>
          <w:snapToGrid w:val="0"/>
          <w:sz w:val="24"/>
          <w:lang w:val="es-ES_tradnl" w:eastAsia="es-ES"/>
        </w:rPr>
        <w:t xml:space="preserve"> kits de protección de la red de Colvol </w:t>
      </w:r>
      <w:r w:rsidRPr="0073431D">
        <w:rPr>
          <w:snapToGrid w:val="0"/>
          <w:sz w:val="24"/>
          <w:lang w:val="es-ES_tradnl" w:eastAsia="es-ES"/>
        </w:rPr>
        <w:t xml:space="preserve">(Bolsos o cajas, sombreros, libro de registro, termómetros, lápices, tarjeta medicación, rotulo) </w:t>
      </w:r>
      <w:r w:rsidR="00A10B70" w:rsidRPr="0073431D">
        <w:rPr>
          <w:snapToGrid w:val="0"/>
          <w:sz w:val="24"/>
          <w:lang w:val="es-ES_tradnl" w:eastAsia="es-ES"/>
        </w:rPr>
        <w:t>mejorando sus capacidades y la respuesta en la gestión de los casos de los focos activos</w:t>
      </w:r>
      <w:r w:rsidRPr="0073431D">
        <w:rPr>
          <w:snapToGrid w:val="0"/>
          <w:sz w:val="24"/>
          <w:lang w:val="es-ES_tradnl" w:eastAsia="es-ES"/>
        </w:rPr>
        <w:t>.</w:t>
      </w:r>
    </w:p>
    <w:p w14:paraId="4B8D4EB6" w14:textId="77777777" w:rsidR="004835C9" w:rsidRPr="0073431D" w:rsidRDefault="004835C9" w:rsidP="00954BC0">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Gastos operativos para 15 RRHH del personal de salud para la realización de las intervenciones en gestión de foco, monitoreo, gerencia y acompañamiento de la estrategia.</w:t>
      </w:r>
    </w:p>
    <w:p w14:paraId="0711694C" w14:textId="77777777" w:rsidR="004835C9" w:rsidRPr="0073431D" w:rsidRDefault="004835C9" w:rsidP="00954BC0">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Gastos operativos para las supervisiones de acompañamiento integral de los SILAIS – Unidades municipales – GISI – red comunitaria para el seguimiento de las intervenciones en los focos activos</w:t>
      </w:r>
    </w:p>
    <w:p w14:paraId="42013F88" w14:textId="77777777" w:rsidR="007A6615" w:rsidRPr="0073431D" w:rsidRDefault="007A6615" w:rsidP="00762014">
      <w:pPr>
        <w:spacing w:after="120"/>
        <w:rPr>
          <w:rFonts w:eastAsia="SimSun" w:cs="Arial"/>
          <w:b/>
          <w:sz w:val="24"/>
          <w:szCs w:val="22"/>
          <w:lang w:val="es-ES" w:eastAsia="en-GB"/>
        </w:rPr>
      </w:pPr>
      <w:r w:rsidRPr="0073431D">
        <w:rPr>
          <w:rFonts w:eastAsia="SimSun" w:cs="Arial"/>
          <w:b/>
          <w:sz w:val="24"/>
          <w:szCs w:val="22"/>
          <w:lang w:val="es-ES" w:eastAsia="en-GB"/>
        </w:rPr>
        <w:t>Control de vectores</w:t>
      </w:r>
      <w:r w:rsidR="00935906" w:rsidRPr="0073431D">
        <w:rPr>
          <w:rFonts w:eastAsia="SimSun" w:cs="Arial"/>
          <w:b/>
          <w:sz w:val="24"/>
          <w:szCs w:val="22"/>
          <w:lang w:val="es-ES" w:eastAsia="en-GB"/>
        </w:rPr>
        <w:t xml:space="preserve">; </w:t>
      </w:r>
      <w:r w:rsidR="00935906" w:rsidRPr="0073431D">
        <w:rPr>
          <w:snapToGrid w:val="0"/>
          <w:sz w:val="24"/>
          <w:szCs w:val="22"/>
          <w:lang w:val="es-ES_tradnl" w:eastAsia="es-ES"/>
        </w:rPr>
        <w:t>e</w:t>
      </w:r>
      <w:r w:rsidRPr="0073431D">
        <w:rPr>
          <w:snapToGrid w:val="0"/>
          <w:sz w:val="24"/>
          <w:szCs w:val="22"/>
          <w:lang w:val="es-ES_tradnl" w:eastAsia="es-ES"/>
        </w:rPr>
        <w:t>sta intervención incluye:</w:t>
      </w:r>
    </w:p>
    <w:p w14:paraId="44EF23B7" w14:textId="77777777" w:rsidR="007A6615" w:rsidRPr="0073431D" w:rsidRDefault="007A6615" w:rsidP="00762014">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 xml:space="preserve">Compra de </w:t>
      </w:r>
      <w:r w:rsidR="004835C9" w:rsidRPr="0073431D">
        <w:rPr>
          <w:snapToGrid w:val="0"/>
          <w:sz w:val="24"/>
          <w:lang w:val="es-ES_tradnl" w:eastAsia="es-ES"/>
        </w:rPr>
        <w:t xml:space="preserve">nuevo </w:t>
      </w:r>
      <w:r w:rsidRPr="0073431D">
        <w:rPr>
          <w:snapToGrid w:val="0"/>
          <w:sz w:val="24"/>
          <w:lang w:val="es-ES_tradnl" w:eastAsia="es-ES"/>
        </w:rPr>
        <w:t xml:space="preserve">insecticida para </w:t>
      </w:r>
      <w:r w:rsidR="004835C9" w:rsidRPr="0073431D">
        <w:rPr>
          <w:snapToGrid w:val="0"/>
          <w:sz w:val="24"/>
          <w:lang w:val="es-ES_tradnl" w:eastAsia="es-ES"/>
        </w:rPr>
        <w:t>RRI (</w:t>
      </w:r>
      <w:r w:rsidR="00030E63" w:rsidRPr="0073431D">
        <w:rPr>
          <w:snapToGrid w:val="0"/>
          <w:sz w:val="24"/>
          <w:lang w:val="es-ES_tradnl" w:eastAsia="es-ES"/>
        </w:rPr>
        <w:t>rociado residual intradomiciliar</w:t>
      </w:r>
      <w:r w:rsidR="004835C9" w:rsidRPr="0073431D">
        <w:rPr>
          <w:snapToGrid w:val="0"/>
          <w:sz w:val="24"/>
          <w:lang w:val="es-ES_tradnl" w:eastAsia="es-ES"/>
        </w:rPr>
        <w:t>)</w:t>
      </w:r>
      <w:r w:rsidRPr="0073431D">
        <w:rPr>
          <w:snapToGrid w:val="0"/>
          <w:sz w:val="24"/>
          <w:lang w:val="es-ES_tradnl" w:eastAsia="es-ES"/>
        </w:rPr>
        <w:t xml:space="preserve"> </w:t>
      </w:r>
      <w:r w:rsidR="004835C9" w:rsidRPr="0073431D">
        <w:rPr>
          <w:snapToGrid w:val="0"/>
          <w:sz w:val="24"/>
          <w:lang w:val="es-ES_tradnl" w:eastAsia="es-ES"/>
        </w:rPr>
        <w:t>de los municipios de Puerto Cabezas y Waspam.</w:t>
      </w:r>
    </w:p>
    <w:p w14:paraId="2539FF1F" w14:textId="77777777" w:rsidR="007A6615" w:rsidRPr="0073431D" w:rsidRDefault="007A6615" w:rsidP="00762014">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 xml:space="preserve">Compra </w:t>
      </w:r>
      <w:r w:rsidR="00686417" w:rsidRPr="0073431D">
        <w:rPr>
          <w:snapToGrid w:val="0"/>
          <w:sz w:val="24"/>
          <w:lang w:val="es-ES_tradnl" w:eastAsia="es-ES"/>
        </w:rPr>
        <w:t>mosquiteros impregnados</w:t>
      </w:r>
      <w:r w:rsidRPr="0073431D">
        <w:rPr>
          <w:snapToGrid w:val="0"/>
          <w:sz w:val="24"/>
          <w:lang w:val="es-ES_tradnl" w:eastAsia="es-ES"/>
        </w:rPr>
        <w:t xml:space="preserve"> de larga duración (</w:t>
      </w:r>
      <w:r w:rsidR="00510638" w:rsidRPr="0073431D">
        <w:rPr>
          <w:snapToGrid w:val="0"/>
          <w:sz w:val="24"/>
          <w:lang w:val="es-ES_tradnl" w:eastAsia="es-ES"/>
        </w:rPr>
        <w:t>MTILD)</w:t>
      </w:r>
      <w:r w:rsidRPr="0073431D">
        <w:rPr>
          <w:snapToGrid w:val="0"/>
          <w:sz w:val="24"/>
          <w:lang w:val="es-ES_tradnl" w:eastAsia="es-ES"/>
        </w:rPr>
        <w:t xml:space="preserve"> para áreas rurales de </w:t>
      </w:r>
      <w:r w:rsidR="004835C9" w:rsidRPr="0073431D">
        <w:rPr>
          <w:snapToGrid w:val="0"/>
          <w:sz w:val="24"/>
          <w:lang w:val="es-ES_tradnl" w:eastAsia="es-ES"/>
        </w:rPr>
        <w:t xml:space="preserve">8 Municipios priorizados (Puerto Cabezas, Prinzapolka, Waspam, Siuna, Rosita, Bonanza, Desembocadura de Rio Grande (Karawala) y Laguna de perlas) </w:t>
      </w:r>
      <w:r w:rsidR="00CF755F" w:rsidRPr="0073431D">
        <w:rPr>
          <w:snapToGrid w:val="0"/>
          <w:sz w:val="24"/>
          <w:lang w:val="es-ES_tradnl" w:eastAsia="es-ES"/>
        </w:rPr>
        <w:t xml:space="preserve"> </w:t>
      </w:r>
      <w:r w:rsidR="00CA4E87" w:rsidRPr="0073431D">
        <w:rPr>
          <w:snapToGrid w:val="0"/>
          <w:sz w:val="24"/>
          <w:lang w:val="es-ES_tradnl" w:eastAsia="es-ES"/>
        </w:rPr>
        <w:t xml:space="preserve"> </w:t>
      </w:r>
    </w:p>
    <w:p w14:paraId="3CFD015C" w14:textId="77777777" w:rsidR="007A6615" w:rsidRPr="0073431D" w:rsidRDefault="007A6615" w:rsidP="00762014">
      <w:pPr>
        <w:pStyle w:val="ListParagraph"/>
        <w:numPr>
          <w:ilvl w:val="0"/>
          <w:numId w:val="9"/>
        </w:numPr>
        <w:spacing w:after="120"/>
        <w:jc w:val="both"/>
        <w:rPr>
          <w:snapToGrid w:val="0"/>
          <w:sz w:val="24"/>
          <w:lang w:val="es-ES_tradnl" w:eastAsia="es-ES"/>
        </w:rPr>
      </w:pPr>
      <w:r w:rsidRPr="0073431D">
        <w:rPr>
          <w:snapToGrid w:val="0"/>
          <w:sz w:val="24"/>
          <w:lang w:val="es-ES_tradnl" w:eastAsia="es-ES"/>
        </w:rPr>
        <w:t xml:space="preserve">Llevar a cabo </w:t>
      </w:r>
      <w:r w:rsidR="00686417" w:rsidRPr="0073431D">
        <w:rPr>
          <w:snapToGrid w:val="0"/>
          <w:sz w:val="24"/>
          <w:lang w:val="es-ES_tradnl" w:eastAsia="es-ES"/>
        </w:rPr>
        <w:t xml:space="preserve">el </w:t>
      </w:r>
      <w:r w:rsidR="004835C9" w:rsidRPr="0073431D">
        <w:rPr>
          <w:snapToGrid w:val="0"/>
          <w:sz w:val="24"/>
          <w:lang w:val="es-ES_tradnl" w:eastAsia="es-ES"/>
        </w:rPr>
        <w:t>RRI</w:t>
      </w:r>
      <w:r w:rsidRPr="0073431D">
        <w:rPr>
          <w:snapToGrid w:val="0"/>
          <w:sz w:val="24"/>
          <w:lang w:val="es-ES_tradnl" w:eastAsia="es-ES"/>
        </w:rPr>
        <w:t xml:space="preserve"> en áreas urbanas de Municipios con mayor carga de </w:t>
      </w:r>
      <w:r w:rsidR="00D50D89" w:rsidRPr="0073431D">
        <w:rPr>
          <w:snapToGrid w:val="0"/>
          <w:sz w:val="24"/>
          <w:lang w:val="es-ES_tradnl" w:eastAsia="es-ES"/>
        </w:rPr>
        <w:t xml:space="preserve">casos de </w:t>
      </w:r>
      <w:r w:rsidRPr="0073431D">
        <w:rPr>
          <w:snapToGrid w:val="0"/>
          <w:sz w:val="24"/>
          <w:lang w:val="es-ES_tradnl" w:eastAsia="es-ES"/>
        </w:rPr>
        <w:t>malaria</w:t>
      </w:r>
      <w:r w:rsidR="00D50D89" w:rsidRPr="0073431D">
        <w:rPr>
          <w:snapToGrid w:val="0"/>
          <w:sz w:val="24"/>
          <w:lang w:val="es-ES_tradnl" w:eastAsia="es-ES"/>
        </w:rPr>
        <w:t>.</w:t>
      </w:r>
    </w:p>
    <w:p w14:paraId="5129E9A2" w14:textId="77777777" w:rsidR="00D50D89" w:rsidRPr="0073431D" w:rsidRDefault="00D50D89" w:rsidP="00A10B70">
      <w:pPr>
        <w:spacing w:after="120"/>
        <w:contextualSpacing/>
        <w:rPr>
          <w:snapToGrid w:val="0"/>
          <w:sz w:val="24"/>
          <w:lang w:val="es-ES_tradnl" w:eastAsia="es-ES"/>
        </w:rPr>
      </w:pPr>
    </w:p>
    <w:p w14:paraId="4FF4C311" w14:textId="77777777" w:rsidR="00384088" w:rsidRPr="0073431D" w:rsidRDefault="00C87823" w:rsidP="00762014">
      <w:pPr>
        <w:spacing w:after="120"/>
        <w:jc w:val="both"/>
        <w:rPr>
          <w:rFonts w:eastAsia="SimSun" w:cs="Arial"/>
          <w:sz w:val="24"/>
          <w:szCs w:val="22"/>
          <w:lang w:val="es-ES"/>
        </w:rPr>
      </w:pPr>
      <w:r w:rsidRPr="0073431D">
        <w:rPr>
          <w:rFonts w:eastAsia="SimSun" w:cs="Arial"/>
          <w:b/>
          <w:i/>
          <w:sz w:val="24"/>
          <w:szCs w:val="22"/>
          <w:lang w:val="es-ES"/>
        </w:rPr>
        <w:t>i</w:t>
      </w:r>
      <w:r w:rsidR="00384088" w:rsidRPr="0073431D">
        <w:rPr>
          <w:rFonts w:eastAsia="SimSun" w:cs="Arial"/>
          <w:b/>
          <w:i/>
          <w:sz w:val="24"/>
          <w:szCs w:val="22"/>
          <w:lang w:val="es-ES"/>
        </w:rPr>
        <w:t>i</w:t>
      </w:r>
      <w:r w:rsidRPr="0073431D">
        <w:rPr>
          <w:rFonts w:eastAsia="SimSun" w:cs="Arial"/>
          <w:b/>
          <w:i/>
          <w:sz w:val="24"/>
          <w:szCs w:val="22"/>
          <w:lang w:val="es-ES"/>
        </w:rPr>
        <w:t>i</w:t>
      </w:r>
      <w:r w:rsidRPr="0073431D">
        <w:rPr>
          <w:rFonts w:eastAsia="SimSun" w:cs="Arial"/>
          <w:sz w:val="24"/>
          <w:szCs w:val="22"/>
          <w:lang w:val="es-ES"/>
        </w:rPr>
        <w:t xml:space="preserve">. </w:t>
      </w:r>
      <w:r w:rsidR="00384088" w:rsidRPr="0073431D">
        <w:rPr>
          <w:rFonts w:eastAsia="SimSun" w:cs="Arial"/>
          <w:b/>
          <w:sz w:val="24"/>
          <w:szCs w:val="22"/>
          <w:lang w:val="es-ES"/>
        </w:rPr>
        <w:t>Gestión de programas</w:t>
      </w:r>
      <w:r w:rsidR="00935906" w:rsidRPr="0073431D">
        <w:rPr>
          <w:rFonts w:eastAsia="SimSun" w:cs="Arial"/>
          <w:sz w:val="24"/>
          <w:szCs w:val="22"/>
          <w:lang w:val="es-ES"/>
        </w:rPr>
        <w:t>;</w:t>
      </w:r>
      <w:r w:rsidR="00935906" w:rsidRPr="0073431D">
        <w:rPr>
          <w:rFonts w:eastAsia="SimSun"/>
          <w:sz w:val="24"/>
          <w:szCs w:val="22"/>
          <w:lang w:val="es-ES"/>
        </w:rPr>
        <w:t xml:space="preserve"> e</w:t>
      </w:r>
      <w:r w:rsidR="00384088" w:rsidRPr="0073431D">
        <w:rPr>
          <w:rFonts w:eastAsia="SimSun"/>
          <w:sz w:val="24"/>
          <w:szCs w:val="22"/>
          <w:lang w:val="es-ES"/>
        </w:rPr>
        <w:t>sta intervención incluye apoyo a recursos humanos clave para</w:t>
      </w:r>
      <w:r w:rsidR="00AC1BAF" w:rsidRPr="0073431D">
        <w:rPr>
          <w:rFonts w:eastAsia="SimSun"/>
          <w:sz w:val="24"/>
          <w:szCs w:val="22"/>
          <w:lang w:val="es-ES"/>
        </w:rPr>
        <w:t xml:space="preserve"> </w:t>
      </w:r>
      <w:r w:rsidR="00384088" w:rsidRPr="0073431D">
        <w:rPr>
          <w:rFonts w:eastAsia="SimSun"/>
          <w:sz w:val="24"/>
          <w:szCs w:val="22"/>
          <w:lang w:val="es-ES"/>
        </w:rPr>
        <w:t xml:space="preserve">la respuesta a la malaria, como los técnicos de campo, los funcionarios de </w:t>
      </w:r>
      <w:r w:rsidR="0071612E" w:rsidRPr="0073431D">
        <w:rPr>
          <w:rFonts w:eastAsia="SimSun"/>
          <w:sz w:val="24"/>
          <w:szCs w:val="22"/>
          <w:lang w:val="es-ES"/>
        </w:rPr>
        <w:t>s</w:t>
      </w:r>
      <w:r w:rsidR="00990BD5" w:rsidRPr="0073431D">
        <w:rPr>
          <w:rFonts w:eastAsia="SimSun"/>
          <w:sz w:val="24"/>
          <w:szCs w:val="22"/>
          <w:lang w:val="es-ES"/>
        </w:rPr>
        <w:t>eguimiento y evaluación</w:t>
      </w:r>
      <w:r w:rsidR="00AC1BAF" w:rsidRPr="0073431D">
        <w:rPr>
          <w:rFonts w:eastAsia="SimSun"/>
          <w:sz w:val="24"/>
          <w:szCs w:val="22"/>
          <w:lang w:val="es-ES"/>
        </w:rPr>
        <w:t xml:space="preserve"> </w:t>
      </w:r>
      <w:r w:rsidR="00384088" w:rsidRPr="0073431D">
        <w:rPr>
          <w:rFonts w:eastAsia="SimSun"/>
          <w:sz w:val="24"/>
          <w:szCs w:val="22"/>
          <w:lang w:val="es-ES"/>
        </w:rPr>
        <w:t>y otros</w:t>
      </w:r>
      <w:r w:rsidR="00384088" w:rsidRPr="0073431D">
        <w:rPr>
          <w:rFonts w:eastAsia="SimSun"/>
          <w:b/>
          <w:i/>
          <w:sz w:val="24"/>
          <w:szCs w:val="22"/>
          <w:lang w:val="es-ES"/>
        </w:rPr>
        <w:t>.</w:t>
      </w:r>
    </w:p>
    <w:p w14:paraId="7BEC4D7F" w14:textId="77777777" w:rsidR="008904FF" w:rsidRPr="00762014" w:rsidRDefault="00384088" w:rsidP="00762014">
      <w:pPr>
        <w:spacing w:after="120"/>
        <w:jc w:val="both"/>
        <w:rPr>
          <w:rFonts w:eastAsia="SimSun"/>
          <w:sz w:val="24"/>
          <w:szCs w:val="22"/>
          <w:lang w:val="es-ES"/>
        </w:rPr>
      </w:pPr>
      <w:r w:rsidRPr="0073431D">
        <w:rPr>
          <w:rFonts w:eastAsia="SimSun" w:cs="Arial"/>
          <w:b/>
          <w:i/>
          <w:sz w:val="24"/>
          <w:szCs w:val="22"/>
          <w:lang w:val="es-ES"/>
        </w:rPr>
        <w:t>i</w:t>
      </w:r>
      <w:r w:rsidR="00EA2F78" w:rsidRPr="0073431D">
        <w:rPr>
          <w:rFonts w:eastAsia="SimSun" w:cs="Arial"/>
          <w:b/>
          <w:i/>
          <w:sz w:val="24"/>
          <w:szCs w:val="22"/>
          <w:lang w:val="es-ES"/>
        </w:rPr>
        <w:t>v</w:t>
      </w:r>
      <w:r w:rsidR="00C87823" w:rsidRPr="0073431D">
        <w:rPr>
          <w:rFonts w:eastAsia="SimSun" w:cs="Arial"/>
          <w:b/>
          <w:i/>
          <w:sz w:val="24"/>
          <w:szCs w:val="22"/>
          <w:lang w:val="es-ES"/>
        </w:rPr>
        <w:t xml:space="preserve">. </w:t>
      </w:r>
      <w:r w:rsidRPr="0073431D">
        <w:rPr>
          <w:rFonts w:eastAsia="SimSun" w:cs="Arial"/>
          <w:b/>
          <w:sz w:val="24"/>
          <w:szCs w:val="22"/>
          <w:lang w:val="es-ES"/>
        </w:rPr>
        <w:t>RSSH: Sistema de información de gestión sanitaria y seguimiento y evaluación</w:t>
      </w:r>
      <w:r w:rsidR="00935906" w:rsidRPr="0073431D">
        <w:rPr>
          <w:rFonts w:eastAsia="SimSun" w:cs="Arial"/>
          <w:b/>
          <w:sz w:val="24"/>
          <w:szCs w:val="22"/>
          <w:lang w:val="es-ES"/>
        </w:rPr>
        <w:t>;</w:t>
      </w:r>
      <w:r w:rsidR="00EA2F78" w:rsidRPr="0073431D">
        <w:rPr>
          <w:rFonts w:eastAsia="SimSun" w:cs="Arial"/>
          <w:sz w:val="24"/>
          <w:szCs w:val="22"/>
          <w:lang w:val="es-ES"/>
        </w:rPr>
        <w:t xml:space="preserve"> </w:t>
      </w:r>
      <w:r w:rsidR="00935906" w:rsidRPr="0073431D">
        <w:rPr>
          <w:rFonts w:eastAsia="SimSun"/>
          <w:sz w:val="24"/>
          <w:szCs w:val="22"/>
          <w:lang w:val="es-ES"/>
        </w:rPr>
        <w:t>e</w:t>
      </w:r>
      <w:r w:rsidRPr="0073431D">
        <w:rPr>
          <w:rFonts w:eastAsia="SimSun"/>
          <w:sz w:val="24"/>
          <w:szCs w:val="22"/>
          <w:lang w:val="es-ES"/>
        </w:rPr>
        <w:t xml:space="preserve">sta intervención incluye actividades como la realización de una encuesta CAP en los municipios dónde se distribuyeron los </w:t>
      </w:r>
      <w:r w:rsidR="00990BD5" w:rsidRPr="0073431D">
        <w:rPr>
          <w:rFonts w:eastAsia="SimSun"/>
          <w:sz w:val="24"/>
          <w:szCs w:val="22"/>
          <w:lang w:val="es-ES"/>
        </w:rPr>
        <w:t>MTILD</w:t>
      </w:r>
      <w:r w:rsidRPr="0073431D">
        <w:rPr>
          <w:rFonts w:eastAsia="SimSun"/>
          <w:sz w:val="24"/>
          <w:szCs w:val="22"/>
          <w:lang w:val="es-ES"/>
        </w:rPr>
        <w:t xml:space="preserve">, </w:t>
      </w:r>
      <w:r w:rsidR="0071612E" w:rsidRPr="0073431D">
        <w:rPr>
          <w:rFonts w:eastAsia="SimSun"/>
          <w:sz w:val="24"/>
          <w:szCs w:val="22"/>
          <w:lang w:val="es-ES"/>
        </w:rPr>
        <w:t>reproducción de formatos primarios</w:t>
      </w:r>
      <w:r w:rsidRPr="0073431D">
        <w:rPr>
          <w:rFonts w:eastAsia="SimSun"/>
          <w:sz w:val="24"/>
          <w:szCs w:val="22"/>
          <w:lang w:val="es-ES"/>
        </w:rPr>
        <w:t xml:space="preserve"> la distribución de equipos y materiales para el sistema de información.</w:t>
      </w:r>
    </w:p>
    <w:p w14:paraId="3365F7AD" w14:textId="77777777" w:rsidR="00DD2DEF" w:rsidRPr="00762014" w:rsidRDefault="00DD2DEF" w:rsidP="00A37217">
      <w:pPr>
        <w:spacing w:before="120" w:after="120"/>
        <w:ind w:left="426"/>
        <w:jc w:val="both"/>
        <w:rPr>
          <w:rFonts w:eastAsia="SimSun"/>
          <w:sz w:val="24"/>
          <w:szCs w:val="22"/>
          <w:lang w:val="es-ES"/>
        </w:rPr>
      </w:pPr>
    </w:p>
    <w:p w14:paraId="69DB691C" w14:textId="77777777" w:rsidR="00F77CA9" w:rsidRPr="00915460" w:rsidRDefault="00FE5B0D" w:rsidP="00915460">
      <w:pPr>
        <w:pStyle w:val="Heading2"/>
        <w:numPr>
          <w:ilvl w:val="1"/>
          <w:numId w:val="39"/>
        </w:numPr>
        <w:rPr>
          <w:b/>
          <w:snapToGrid w:val="0"/>
          <w:color w:val="auto"/>
          <w:lang w:val="es-ES_tradnl" w:eastAsia="es-ES"/>
        </w:rPr>
      </w:pPr>
      <w:r w:rsidRPr="00915460">
        <w:rPr>
          <w:b/>
          <w:snapToGrid w:val="0"/>
          <w:color w:val="auto"/>
          <w:lang w:val="es-ES_tradnl" w:eastAsia="es-ES"/>
        </w:rPr>
        <w:t xml:space="preserve"> </w:t>
      </w:r>
      <w:bookmarkStart w:id="5" w:name="_Toc109287556"/>
      <w:r w:rsidR="00F77CA9" w:rsidRPr="00915460">
        <w:rPr>
          <w:b/>
          <w:snapToGrid w:val="0"/>
          <w:color w:val="auto"/>
          <w:lang w:val="es-ES_tradnl" w:eastAsia="es-ES"/>
        </w:rPr>
        <w:t>E</w:t>
      </w:r>
      <w:r w:rsidR="00BC557B" w:rsidRPr="00915460">
        <w:rPr>
          <w:b/>
          <w:snapToGrid w:val="0"/>
          <w:color w:val="auto"/>
          <w:lang w:val="es-ES_tradnl" w:eastAsia="es-ES"/>
        </w:rPr>
        <w:t xml:space="preserve">ntidades </w:t>
      </w:r>
      <w:r w:rsidR="00D261D1" w:rsidRPr="00915460">
        <w:rPr>
          <w:b/>
          <w:snapToGrid w:val="0"/>
          <w:color w:val="auto"/>
          <w:lang w:val="es-ES_tradnl" w:eastAsia="es-ES"/>
        </w:rPr>
        <w:t xml:space="preserve">del </w:t>
      </w:r>
      <w:r w:rsidR="00935906" w:rsidRPr="00915460">
        <w:rPr>
          <w:b/>
          <w:snapToGrid w:val="0"/>
          <w:color w:val="auto"/>
          <w:lang w:val="es-ES_tradnl" w:eastAsia="es-ES"/>
        </w:rPr>
        <w:t>p</w:t>
      </w:r>
      <w:r w:rsidR="00D261D1" w:rsidRPr="00915460">
        <w:rPr>
          <w:b/>
          <w:snapToGrid w:val="0"/>
          <w:color w:val="auto"/>
          <w:lang w:val="es-ES_tradnl" w:eastAsia="es-ES"/>
        </w:rPr>
        <w:t>rograma</w:t>
      </w:r>
      <w:r w:rsidR="00A14802" w:rsidRPr="00915460">
        <w:rPr>
          <w:b/>
          <w:snapToGrid w:val="0"/>
          <w:color w:val="auto"/>
          <w:lang w:val="es-ES_tradnl" w:eastAsia="es-ES"/>
        </w:rPr>
        <w:t xml:space="preserve"> y enfoque de la auditoría.</w:t>
      </w:r>
      <w:bookmarkEnd w:id="5"/>
    </w:p>
    <w:p w14:paraId="215C3908" w14:textId="77777777" w:rsidR="00915460" w:rsidRDefault="00915460" w:rsidP="00762014">
      <w:pPr>
        <w:widowControl w:val="0"/>
        <w:tabs>
          <w:tab w:val="num" w:pos="1428"/>
        </w:tabs>
        <w:spacing w:after="120"/>
        <w:jc w:val="both"/>
        <w:rPr>
          <w:snapToGrid w:val="0"/>
          <w:sz w:val="24"/>
          <w:szCs w:val="22"/>
          <w:lang w:val="es-ES_tradnl" w:eastAsia="es-ES"/>
        </w:rPr>
      </w:pPr>
    </w:p>
    <w:p w14:paraId="6A04A3EC" w14:textId="2AF605F6" w:rsidR="00F4774C" w:rsidRPr="00762014" w:rsidRDefault="00F4774C" w:rsidP="00762014">
      <w:pPr>
        <w:widowControl w:val="0"/>
        <w:tabs>
          <w:tab w:val="num" w:pos="1428"/>
        </w:tabs>
        <w:spacing w:after="120"/>
        <w:jc w:val="both"/>
        <w:rPr>
          <w:snapToGrid w:val="0"/>
          <w:sz w:val="24"/>
          <w:szCs w:val="22"/>
          <w:lang w:val="es-ES" w:eastAsia="es-ES"/>
        </w:rPr>
      </w:pPr>
      <w:r w:rsidRPr="00762014">
        <w:rPr>
          <w:snapToGrid w:val="0"/>
          <w:sz w:val="24"/>
          <w:szCs w:val="22"/>
          <w:lang w:val="es-ES_tradnl" w:eastAsia="es-ES"/>
        </w:rPr>
        <w:t>El c</w:t>
      </w:r>
      <w:r w:rsidR="00FE5B0D" w:rsidRPr="00762014">
        <w:rPr>
          <w:snapToGrid w:val="0"/>
          <w:sz w:val="24"/>
          <w:szCs w:val="22"/>
          <w:lang w:val="es-419" w:eastAsia="es-ES"/>
        </w:rPr>
        <w:t>convenio</w:t>
      </w:r>
      <w:r w:rsidRPr="00762014">
        <w:rPr>
          <w:snapToGrid w:val="0"/>
          <w:sz w:val="24"/>
          <w:szCs w:val="22"/>
          <w:lang w:val="es-ES" w:eastAsia="es-ES"/>
        </w:rPr>
        <w:t xml:space="preserve"> suscrito entre El Fondo Mundial y NicaSalud,</w:t>
      </w:r>
      <w:r w:rsidRPr="00762014">
        <w:rPr>
          <w:snapToGrid w:val="0"/>
          <w:sz w:val="24"/>
          <w:szCs w:val="22"/>
          <w:lang w:val="es-419" w:eastAsia="es-ES"/>
        </w:rPr>
        <w:t xml:space="preserve"> es: Grant Number: </w:t>
      </w:r>
      <w:r w:rsidRPr="00762014">
        <w:rPr>
          <w:b/>
          <w:bCs/>
          <w:snapToGrid w:val="0"/>
          <w:sz w:val="24"/>
          <w:szCs w:val="22"/>
          <w:lang w:val="es-419" w:eastAsia="es-ES"/>
        </w:rPr>
        <w:t>NIC-M-REDNICA</w:t>
      </w:r>
      <w:r w:rsidRPr="00762014">
        <w:rPr>
          <w:b/>
          <w:snapToGrid w:val="0"/>
          <w:sz w:val="24"/>
          <w:szCs w:val="22"/>
          <w:lang w:val="es-419" w:eastAsia="es-ES"/>
        </w:rPr>
        <w:t xml:space="preserve"> -</w:t>
      </w:r>
      <w:r w:rsidR="00D34AA1">
        <w:rPr>
          <w:b/>
          <w:snapToGrid w:val="0"/>
          <w:sz w:val="24"/>
          <w:szCs w:val="22"/>
          <w:lang w:val="es-419" w:eastAsia="es-ES"/>
        </w:rPr>
        <w:t xml:space="preserve"> 2749</w:t>
      </w:r>
      <w:r w:rsidRPr="00762014">
        <w:rPr>
          <w:b/>
          <w:snapToGrid w:val="0"/>
          <w:sz w:val="24"/>
          <w:szCs w:val="22"/>
          <w:lang w:val="es-419" w:eastAsia="es-ES"/>
        </w:rPr>
        <w:t xml:space="preserve"> </w:t>
      </w:r>
      <w:r w:rsidR="00BC7DF5" w:rsidRPr="00BC7DF5">
        <w:rPr>
          <w:b/>
          <w:bCs/>
          <w:sz w:val="24"/>
          <w:szCs w:val="20"/>
          <w:lang w:val="es-ES" w:eastAsia="en-GB"/>
        </w:rPr>
        <w:t>“</w:t>
      </w:r>
      <w:r w:rsidR="001E2EEB" w:rsidRPr="002407ED">
        <w:rPr>
          <w:rFonts w:ascii="Arial" w:hAnsi="Arial" w:cs="Arial"/>
          <w:b/>
          <w:bCs/>
          <w:i/>
          <w:sz w:val="24"/>
          <w:lang w:val="es-ES"/>
        </w:rPr>
        <w:t>Nicaragua, sosteniendo los logros y consolidando acciones enfocadas a la pre-eliminación de la malaria</w:t>
      </w:r>
      <w:r w:rsidR="001E2EEB" w:rsidRPr="002407ED">
        <w:rPr>
          <w:rFonts w:ascii="Arial" w:hAnsi="Arial" w:cs="Arial"/>
          <w:b/>
          <w:bCs/>
          <w:sz w:val="24"/>
          <w:lang w:val="es-ES"/>
        </w:rPr>
        <w:t>” – Malaria NC 2022-2024,</w:t>
      </w:r>
      <w:r w:rsidR="002407ED">
        <w:rPr>
          <w:rFonts w:ascii="Arial" w:hAnsi="Arial" w:cs="Arial"/>
          <w:sz w:val="24"/>
          <w:lang w:val="es-ES"/>
        </w:rPr>
        <w:t xml:space="preserve"> </w:t>
      </w:r>
      <w:r w:rsidRPr="00762014">
        <w:rPr>
          <w:snapToGrid w:val="0"/>
          <w:sz w:val="24"/>
          <w:szCs w:val="22"/>
          <w:lang w:val="es-NI" w:eastAsia="es-ES"/>
        </w:rPr>
        <w:t xml:space="preserve">por un monto de </w:t>
      </w:r>
      <w:r w:rsidRPr="00762014">
        <w:rPr>
          <w:b/>
          <w:snapToGrid w:val="0"/>
          <w:sz w:val="24"/>
          <w:szCs w:val="22"/>
          <w:lang w:val="es-NI" w:eastAsia="es-ES"/>
        </w:rPr>
        <w:t>US$</w:t>
      </w:r>
      <w:r w:rsidR="00D34AA1">
        <w:rPr>
          <w:b/>
          <w:snapToGrid w:val="0"/>
          <w:sz w:val="24"/>
          <w:szCs w:val="22"/>
          <w:lang w:val="es-NI" w:eastAsia="es-ES"/>
        </w:rPr>
        <w:t>11,918,490</w:t>
      </w:r>
      <w:r w:rsidRPr="00762014">
        <w:rPr>
          <w:snapToGrid w:val="0"/>
          <w:sz w:val="24"/>
          <w:szCs w:val="22"/>
          <w:lang w:val="es-NI" w:eastAsia="es-ES"/>
        </w:rPr>
        <w:t xml:space="preserve"> dólares americanos, para el </w:t>
      </w:r>
      <w:r w:rsidRPr="00762014">
        <w:rPr>
          <w:snapToGrid w:val="0"/>
          <w:sz w:val="24"/>
          <w:szCs w:val="22"/>
          <w:lang w:val="es-ES" w:eastAsia="es-ES"/>
        </w:rPr>
        <w:t>periodo 1 de enero 20</w:t>
      </w:r>
      <w:r w:rsidR="00A67C8D">
        <w:rPr>
          <w:snapToGrid w:val="0"/>
          <w:sz w:val="24"/>
          <w:szCs w:val="22"/>
          <w:lang w:val="es-ES" w:eastAsia="es-ES"/>
        </w:rPr>
        <w:t>22</w:t>
      </w:r>
      <w:r w:rsidRPr="00762014">
        <w:rPr>
          <w:snapToGrid w:val="0"/>
          <w:sz w:val="24"/>
          <w:szCs w:val="22"/>
          <w:lang w:val="es-ES" w:eastAsia="es-ES"/>
        </w:rPr>
        <w:t xml:space="preserve"> al 31 de diciembre 202</w:t>
      </w:r>
      <w:r w:rsidR="00A67C8D">
        <w:rPr>
          <w:snapToGrid w:val="0"/>
          <w:sz w:val="24"/>
          <w:szCs w:val="22"/>
          <w:lang w:val="es-ES" w:eastAsia="es-ES"/>
        </w:rPr>
        <w:t>4</w:t>
      </w:r>
      <w:r w:rsidRPr="00762014">
        <w:rPr>
          <w:snapToGrid w:val="0"/>
          <w:sz w:val="24"/>
          <w:szCs w:val="22"/>
          <w:lang w:val="es-ES" w:eastAsia="es-ES"/>
        </w:rPr>
        <w:t xml:space="preserve">. </w:t>
      </w:r>
    </w:p>
    <w:p w14:paraId="4F118188" w14:textId="77777777" w:rsidR="00F4774C" w:rsidRPr="00762014" w:rsidRDefault="00F4774C" w:rsidP="00762014">
      <w:pPr>
        <w:widowControl w:val="0"/>
        <w:spacing w:after="120"/>
        <w:jc w:val="both"/>
        <w:rPr>
          <w:snapToGrid w:val="0"/>
          <w:sz w:val="24"/>
          <w:szCs w:val="22"/>
          <w:lang w:val="es-ES_tradnl" w:eastAsia="es-ES"/>
        </w:rPr>
      </w:pPr>
      <w:r w:rsidRPr="00762014">
        <w:rPr>
          <w:snapToGrid w:val="0"/>
          <w:sz w:val="24"/>
          <w:szCs w:val="22"/>
          <w:lang w:val="es-ES_tradnl" w:eastAsia="es-ES"/>
        </w:rPr>
        <w:t xml:space="preserve">Como parte de los compromisos adquiridos a través del convenio suscrito por </w:t>
      </w:r>
      <w:r w:rsidR="007B3168" w:rsidRPr="008137D1">
        <w:rPr>
          <w:snapToGrid w:val="0"/>
          <w:sz w:val="24"/>
          <w:szCs w:val="22"/>
          <w:lang w:val="es-ES_tradnl" w:eastAsia="es-ES"/>
        </w:rPr>
        <w:t>la Federación Red</w:t>
      </w:r>
      <w:r w:rsidR="007B3168">
        <w:rPr>
          <w:snapToGrid w:val="0"/>
          <w:sz w:val="24"/>
          <w:szCs w:val="22"/>
          <w:lang w:val="es-ES_tradnl" w:eastAsia="es-ES"/>
        </w:rPr>
        <w:t xml:space="preserve"> </w:t>
      </w:r>
      <w:r w:rsidRPr="00762014">
        <w:rPr>
          <w:snapToGrid w:val="0"/>
          <w:sz w:val="24"/>
          <w:szCs w:val="22"/>
          <w:lang w:val="es-ES_tradnl" w:eastAsia="es-ES"/>
        </w:rPr>
        <w:t xml:space="preserve">NicaSalud (Receptor Principal) y </w:t>
      </w:r>
      <w:r w:rsidRPr="00762014">
        <w:rPr>
          <w:snapToGrid w:val="0"/>
          <w:sz w:val="24"/>
          <w:szCs w:val="22"/>
          <w:lang w:val="es-ES" w:eastAsia="es-ES"/>
        </w:rPr>
        <w:t>El</w:t>
      </w:r>
      <w:r w:rsidRPr="00762014">
        <w:rPr>
          <w:snapToGrid w:val="0"/>
          <w:sz w:val="24"/>
          <w:szCs w:val="22"/>
          <w:lang w:val="es-ES_tradnl" w:eastAsia="es-ES"/>
        </w:rPr>
        <w:t xml:space="preserve"> Fondo Mundial, se tiene previsto la realización de </w:t>
      </w:r>
      <w:r w:rsidR="00D34AA1" w:rsidRPr="00762014">
        <w:rPr>
          <w:snapToGrid w:val="0"/>
          <w:sz w:val="24"/>
          <w:szCs w:val="22"/>
          <w:lang w:val="es-ES_tradnl" w:eastAsia="es-ES"/>
        </w:rPr>
        <w:t>auditoría</w:t>
      </w:r>
      <w:r w:rsidRPr="00762014">
        <w:rPr>
          <w:snapToGrid w:val="0"/>
          <w:sz w:val="24"/>
          <w:szCs w:val="22"/>
          <w:lang w:val="es-ES_tradnl" w:eastAsia="es-ES"/>
        </w:rPr>
        <w:t xml:space="preserve"> de los fondos recibidos y utilizados durante el período </w:t>
      </w:r>
      <w:r w:rsidR="002B48B8" w:rsidRPr="00762014">
        <w:rPr>
          <w:snapToGrid w:val="0"/>
          <w:sz w:val="24"/>
          <w:szCs w:val="22"/>
          <w:lang w:val="es-ES_tradnl" w:eastAsia="es-ES"/>
        </w:rPr>
        <w:t xml:space="preserve">de ejecución del Proyecto que va de </w:t>
      </w:r>
      <w:r w:rsidRPr="00762014">
        <w:rPr>
          <w:snapToGrid w:val="0"/>
          <w:sz w:val="24"/>
          <w:szCs w:val="22"/>
          <w:lang w:val="es-ES_tradnl" w:eastAsia="es-ES"/>
        </w:rPr>
        <w:t>del 1 de enero 202</w:t>
      </w:r>
      <w:r w:rsidR="00A67C8D">
        <w:rPr>
          <w:snapToGrid w:val="0"/>
          <w:sz w:val="24"/>
          <w:szCs w:val="22"/>
          <w:lang w:val="es-ES_tradnl" w:eastAsia="es-ES"/>
        </w:rPr>
        <w:t>2</w:t>
      </w:r>
      <w:r w:rsidRPr="00762014">
        <w:rPr>
          <w:snapToGrid w:val="0"/>
          <w:sz w:val="24"/>
          <w:szCs w:val="22"/>
          <w:lang w:val="es-ES_tradnl" w:eastAsia="es-ES"/>
        </w:rPr>
        <w:t xml:space="preserve"> al 31 de diciembre 202</w:t>
      </w:r>
      <w:r w:rsidR="00A67C8D">
        <w:rPr>
          <w:snapToGrid w:val="0"/>
          <w:sz w:val="24"/>
          <w:szCs w:val="22"/>
          <w:lang w:val="es-ES_tradnl" w:eastAsia="es-ES"/>
        </w:rPr>
        <w:t>4</w:t>
      </w:r>
      <w:r w:rsidRPr="00762014">
        <w:rPr>
          <w:snapToGrid w:val="0"/>
          <w:sz w:val="24"/>
          <w:szCs w:val="22"/>
          <w:lang w:val="es-ES_tradnl" w:eastAsia="es-ES"/>
        </w:rPr>
        <w:t>, la que deberá realizarse por una firma auditora</w:t>
      </w:r>
      <w:r w:rsidRPr="00762014">
        <w:rPr>
          <w:rFonts w:cs="Arial"/>
          <w:snapToGrid w:val="0"/>
          <w:sz w:val="24"/>
          <w:szCs w:val="22"/>
          <w:lang w:val="es-ES_tradnl" w:eastAsia="es-ES"/>
        </w:rPr>
        <w:t xml:space="preserve"> i</w:t>
      </w:r>
      <w:r w:rsidRPr="00762014">
        <w:rPr>
          <w:snapToGrid w:val="0"/>
          <w:sz w:val="24"/>
          <w:szCs w:val="22"/>
          <w:lang w:val="es-ES_tradnl" w:eastAsia="es-ES"/>
        </w:rPr>
        <w:t xml:space="preserve">ndependiente. </w:t>
      </w:r>
    </w:p>
    <w:p w14:paraId="6DA30E5A" w14:textId="77777777" w:rsidR="00F4774C" w:rsidRPr="00762014" w:rsidRDefault="00F4774C" w:rsidP="00762014">
      <w:pPr>
        <w:spacing w:after="120"/>
        <w:jc w:val="both"/>
        <w:rPr>
          <w:snapToGrid w:val="0"/>
          <w:sz w:val="24"/>
          <w:szCs w:val="22"/>
          <w:lang w:val="es-ES_tradnl" w:eastAsia="es-ES"/>
        </w:rPr>
      </w:pPr>
      <w:r w:rsidRPr="00762014">
        <w:rPr>
          <w:snapToGrid w:val="0"/>
          <w:sz w:val="24"/>
          <w:szCs w:val="22"/>
          <w:lang w:val="es-ES_tradnl" w:eastAsia="es-ES"/>
        </w:rPr>
        <w:t xml:space="preserve">El Receptor Principal </w:t>
      </w:r>
      <w:r w:rsidRPr="008137D1">
        <w:rPr>
          <w:snapToGrid w:val="0"/>
          <w:sz w:val="24"/>
          <w:szCs w:val="22"/>
          <w:lang w:val="es-ES_tradnl" w:eastAsia="es-ES"/>
        </w:rPr>
        <w:t>(</w:t>
      </w:r>
      <w:r w:rsidR="007B3168" w:rsidRPr="008137D1">
        <w:rPr>
          <w:snapToGrid w:val="0"/>
          <w:sz w:val="24"/>
          <w:szCs w:val="22"/>
          <w:lang w:val="es-ES_tradnl" w:eastAsia="es-ES"/>
        </w:rPr>
        <w:t>Red</w:t>
      </w:r>
      <w:r w:rsidR="007B3168">
        <w:rPr>
          <w:snapToGrid w:val="0"/>
          <w:sz w:val="24"/>
          <w:szCs w:val="22"/>
          <w:lang w:val="es-ES_tradnl" w:eastAsia="es-ES"/>
        </w:rPr>
        <w:t xml:space="preserve"> </w:t>
      </w:r>
      <w:r w:rsidRPr="00762014">
        <w:rPr>
          <w:snapToGrid w:val="0"/>
          <w:sz w:val="24"/>
          <w:szCs w:val="22"/>
          <w:lang w:val="es-ES_tradnl" w:eastAsia="es-ES"/>
        </w:rPr>
        <w:t>NicaSalud) asegurará la realización de auditoría de los fondos recibidos y utilizados para la ejecución de la subvención por parte de los Sub Receptores</w:t>
      </w:r>
      <w:r w:rsidRPr="00762014">
        <w:rPr>
          <w:rStyle w:val="FootnoteReference"/>
          <w:snapToGrid w:val="0"/>
          <w:sz w:val="24"/>
          <w:szCs w:val="22"/>
          <w:lang w:val="es-ES_tradnl" w:eastAsia="es-ES"/>
        </w:rPr>
        <w:footnoteReference w:id="1"/>
      </w:r>
      <w:r w:rsidRPr="00762014">
        <w:rPr>
          <w:snapToGrid w:val="0"/>
          <w:sz w:val="24"/>
          <w:szCs w:val="22"/>
          <w:lang w:val="es-ES_tradnl" w:eastAsia="es-ES"/>
        </w:rPr>
        <w:t xml:space="preserve"> que reciben fondos durante este período, debiendo remitir copia de los resultados de dicha revisión a El Fondo Mundial. </w:t>
      </w:r>
    </w:p>
    <w:p w14:paraId="236A8BA2" w14:textId="77777777" w:rsidR="00F4774C" w:rsidRDefault="00F4774C" w:rsidP="00762014">
      <w:pPr>
        <w:spacing w:after="120"/>
        <w:ind w:right="-22"/>
        <w:jc w:val="both"/>
        <w:rPr>
          <w:snapToGrid w:val="0"/>
          <w:sz w:val="24"/>
          <w:szCs w:val="22"/>
          <w:lang w:val="es-ES_tradnl" w:eastAsia="es-ES"/>
        </w:rPr>
      </w:pPr>
      <w:r w:rsidRPr="00762014">
        <w:rPr>
          <w:snapToGrid w:val="0"/>
          <w:sz w:val="24"/>
          <w:szCs w:val="22"/>
          <w:lang w:val="es-ES_tradnl" w:eastAsia="es-ES"/>
        </w:rPr>
        <w:t xml:space="preserve">La subvención se ejecuta </w:t>
      </w:r>
      <w:r w:rsidR="003C6583" w:rsidRPr="00762014">
        <w:rPr>
          <w:snapToGrid w:val="0"/>
          <w:sz w:val="24"/>
          <w:szCs w:val="22"/>
          <w:lang w:val="es-ES_tradnl" w:eastAsia="es-ES"/>
        </w:rPr>
        <w:t>específica</w:t>
      </w:r>
      <w:r w:rsidRPr="00762014">
        <w:rPr>
          <w:snapToGrid w:val="0"/>
          <w:sz w:val="24"/>
          <w:szCs w:val="22"/>
          <w:lang w:val="es-ES_tradnl" w:eastAsia="es-ES"/>
        </w:rPr>
        <w:t xml:space="preserve">mente por </w:t>
      </w:r>
      <w:r w:rsidR="00D34AA1">
        <w:rPr>
          <w:snapToGrid w:val="0"/>
          <w:sz w:val="24"/>
          <w:szCs w:val="22"/>
          <w:lang w:val="es-ES_tradnl" w:eastAsia="es-ES"/>
        </w:rPr>
        <w:t>dos</w:t>
      </w:r>
      <w:r w:rsidRPr="00762014">
        <w:rPr>
          <w:snapToGrid w:val="0"/>
          <w:sz w:val="24"/>
          <w:szCs w:val="22"/>
          <w:lang w:val="es-ES_tradnl" w:eastAsia="es-ES"/>
        </w:rPr>
        <w:t xml:space="preserve"> instituci</w:t>
      </w:r>
      <w:r w:rsidR="00D34AA1">
        <w:rPr>
          <w:snapToGrid w:val="0"/>
          <w:sz w:val="24"/>
          <w:szCs w:val="22"/>
          <w:lang w:val="es-ES_tradnl" w:eastAsia="es-ES"/>
        </w:rPr>
        <w:t>ones</w:t>
      </w:r>
      <w:r w:rsidRPr="00762014">
        <w:rPr>
          <w:snapToGrid w:val="0"/>
          <w:sz w:val="24"/>
          <w:szCs w:val="22"/>
          <w:lang w:val="es-ES_tradnl" w:eastAsia="es-ES"/>
        </w:rPr>
        <w:t xml:space="preserve"> de gobierno</w:t>
      </w:r>
      <w:r w:rsidR="002407ED">
        <w:rPr>
          <w:snapToGrid w:val="0"/>
          <w:sz w:val="24"/>
          <w:szCs w:val="22"/>
          <w:lang w:val="es-ES_tradnl" w:eastAsia="es-ES"/>
        </w:rPr>
        <w:t xml:space="preserve"> el</w:t>
      </w:r>
      <w:r w:rsidRPr="00762014">
        <w:rPr>
          <w:snapToGrid w:val="0"/>
          <w:sz w:val="24"/>
          <w:szCs w:val="22"/>
          <w:lang w:val="es-ES_tradnl" w:eastAsia="es-ES"/>
        </w:rPr>
        <w:t xml:space="preserve"> Ministerio de Salud</w:t>
      </w:r>
      <w:r w:rsidR="00D34AA1">
        <w:rPr>
          <w:snapToGrid w:val="0"/>
          <w:sz w:val="24"/>
          <w:szCs w:val="22"/>
          <w:lang w:val="es-ES_tradnl" w:eastAsia="es-ES"/>
        </w:rPr>
        <w:t xml:space="preserve"> y Ministerio de Gobernación y </w:t>
      </w:r>
      <w:r w:rsidRPr="00762014">
        <w:rPr>
          <w:snapToGrid w:val="0"/>
          <w:sz w:val="24"/>
          <w:szCs w:val="22"/>
          <w:lang w:val="es-ES_tradnl" w:eastAsia="es-ES"/>
        </w:rPr>
        <w:t xml:space="preserve">una de sociedad civil que es </w:t>
      </w:r>
      <w:r w:rsidR="001622CE">
        <w:rPr>
          <w:snapToGrid w:val="0"/>
          <w:sz w:val="24"/>
          <w:szCs w:val="22"/>
          <w:lang w:val="es-ES_tradnl" w:eastAsia="es-ES"/>
        </w:rPr>
        <w:t>Fundación San Lucas</w:t>
      </w:r>
      <w:r w:rsidRPr="00762014">
        <w:rPr>
          <w:snapToGrid w:val="0"/>
          <w:sz w:val="24"/>
          <w:szCs w:val="22"/>
          <w:lang w:val="es-ES_tradnl" w:eastAsia="es-ES"/>
        </w:rPr>
        <w:t xml:space="preserve">, con quienes el Receptor Principal </w:t>
      </w:r>
      <w:r w:rsidRPr="008137D1">
        <w:rPr>
          <w:snapToGrid w:val="0"/>
          <w:sz w:val="24"/>
          <w:szCs w:val="22"/>
          <w:lang w:val="es-ES_tradnl" w:eastAsia="es-ES"/>
        </w:rPr>
        <w:t>(</w:t>
      </w:r>
      <w:r w:rsidR="007B3168" w:rsidRPr="008137D1">
        <w:rPr>
          <w:snapToGrid w:val="0"/>
          <w:sz w:val="24"/>
          <w:szCs w:val="22"/>
          <w:lang w:val="es-ES_tradnl" w:eastAsia="es-ES"/>
        </w:rPr>
        <w:t>Red</w:t>
      </w:r>
      <w:r w:rsidR="007B3168">
        <w:rPr>
          <w:snapToGrid w:val="0"/>
          <w:sz w:val="24"/>
          <w:szCs w:val="22"/>
          <w:lang w:val="es-ES_tradnl" w:eastAsia="es-ES"/>
        </w:rPr>
        <w:t xml:space="preserve"> </w:t>
      </w:r>
      <w:r w:rsidRPr="00762014">
        <w:rPr>
          <w:snapToGrid w:val="0"/>
          <w:sz w:val="24"/>
          <w:szCs w:val="22"/>
          <w:lang w:val="es-ES_tradnl" w:eastAsia="es-ES"/>
        </w:rPr>
        <w:t>NicaSalud) ha firmado convenios de Sub-donación específicos</w:t>
      </w:r>
      <w:r w:rsidR="00B1346D" w:rsidRPr="00762014">
        <w:rPr>
          <w:snapToGrid w:val="0"/>
          <w:sz w:val="24"/>
          <w:szCs w:val="22"/>
          <w:lang w:val="es-ES_tradnl" w:eastAsia="es-ES"/>
        </w:rPr>
        <w:t>, que son:</w:t>
      </w:r>
    </w:p>
    <w:p w14:paraId="497B7FEC" w14:textId="77777777" w:rsidR="00954BC0" w:rsidRDefault="00954BC0" w:rsidP="00762014">
      <w:pPr>
        <w:spacing w:after="120"/>
        <w:ind w:right="-22"/>
        <w:jc w:val="both"/>
        <w:rPr>
          <w:snapToGrid w:val="0"/>
          <w:sz w:val="24"/>
          <w:szCs w:val="22"/>
          <w:lang w:val="es-ES_tradnl" w:eastAsia="es-ES"/>
        </w:rPr>
      </w:pPr>
    </w:p>
    <w:tbl>
      <w:tblPr>
        <w:tblW w:w="9946" w:type="dxa"/>
        <w:tblLook w:val="04A0" w:firstRow="1" w:lastRow="0" w:firstColumn="1" w:lastColumn="0" w:noHBand="0" w:noVBand="1"/>
      </w:tblPr>
      <w:tblGrid>
        <w:gridCol w:w="9946"/>
      </w:tblGrid>
      <w:tr w:rsidR="00954BC0" w:rsidRPr="00FC0297" w14:paraId="423A3A35" w14:textId="77777777" w:rsidTr="00954BC0">
        <w:trPr>
          <w:trHeight w:val="571"/>
        </w:trPr>
        <w:tc>
          <w:tcPr>
            <w:tcW w:w="99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E751CF" w14:textId="77777777" w:rsidR="00954BC0" w:rsidRPr="00954BC0" w:rsidRDefault="00954BC0" w:rsidP="00954BC0">
            <w:pPr>
              <w:jc w:val="both"/>
              <w:rPr>
                <w:rFonts w:cs="Calibri"/>
                <w:color w:val="000000"/>
                <w:sz w:val="20"/>
                <w:szCs w:val="20"/>
                <w:lang w:val="es-419" w:eastAsia="en-US"/>
              </w:rPr>
            </w:pPr>
            <w:r w:rsidRPr="00954BC0">
              <w:rPr>
                <w:rFonts w:cs="Calibri"/>
                <w:color w:val="000000"/>
                <w:sz w:val="20"/>
                <w:szCs w:val="20"/>
                <w:lang w:val="es-ES_tradnl" w:eastAsia="en-US"/>
              </w:rPr>
              <w:t xml:space="preserve"> </w:t>
            </w:r>
            <w:r w:rsidRPr="00954BC0">
              <w:rPr>
                <w:rFonts w:cs="Calibri"/>
                <w:color w:val="000000"/>
                <w:sz w:val="20"/>
                <w:szCs w:val="20"/>
                <w:lang w:val="es-ES_tradnl" w:eastAsia="en-US"/>
              </w:rPr>
              <w:t></w:t>
            </w:r>
            <w:r>
              <w:rPr>
                <w:rFonts w:cs="Calibri"/>
                <w:color w:val="000000"/>
                <w:sz w:val="20"/>
                <w:szCs w:val="20"/>
                <w:lang w:val="es-ES_tradnl" w:eastAsia="en-US"/>
              </w:rPr>
              <w:t xml:space="preserve"> </w:t>
            </w:r>
            <w:r w:rsidRPr="00954BC0">
              <w:rPr>
                <w:rFonts w:cs="Calibri"/>
                <w:color w:val="000000"/>
                <w:sz w:val="20"/>
                <w:szCs w:val="20"/>
                <w:lang w:val="es-ES_tradnl" w:eastAsia="en-US"/>
              </w:rPr>
              <w:t xml:space="preserve">Acuerdo de Sub-donación Número: </w:t>
            </w:r>
            <w:r w:rsidRPr="00954BC0">
              <w:rPr>
                <w:rFonts w:cs="Calibri"/>
                <w:b/>
                <w:bCs/>
                <w:color w:val="000000"/>
                <w:sz w:val="20"/>
                <w:szCs w:val="20"/>
                <w:lang w:val="es-ES_tradnl" w:eastAsia="en-US"/>
              </w:rPr>
              <w:t>NIC-M-REDNICA-NC-MINSA-001-2022</w:t>
            </w:r>
            <w:r w:rsidRPr="00954BC0">
              <w:rPr>
                <w:rFonts w:cs="Calibri"/>
                <w:color w:val="000000"/>
                <w:sz w:val="20"/>
                <w:szCs w:val="20"/>
                <w:lang w:val="es-ES_tradnl" w:eastAsia="en-US"/>
              </w:rPr>
              <w:t xml:space="preserve">, suscrito entre Federación Red NicaSalud y Ministerio de Salud (MINSA). </w:t>
            </w:r>
          </w:p>
        </w:tc>
      </w:tr>
      <w:tr w:rsidR="00954BC0" w:rsidRPr="00FC0297" w14:paraId="47BD30BF" w14:textId="77777777" w:rsidTr="00954BC0">
        <w:trPr>
          <w:trHeight w:val="571"/>
        </w:trPr>
        <w:tc>
          <w:tcPr>
            <w:tcW w:w="9946" w:type="dxa"/>
            <w:tcBorders>
              <w:top w:val="nil"/>
              <w:left w:val="single" w:sz="8" w:space="0" w:color="auto"/>
              <w:bottom w:val="single" w:sz="4" w:space="0" w:color="auto"/>
              <w:right w:val="single" w:sz="8" w:space="0" w:color="auto"/>
            </w:tcBorders>
            <w:shd w:val="clear" w:color="auto" w:fill="auto"/>
            <w:noWrap/>
            <w:vAlign w:val="center"/>
            <w:hideMark/>
          </w:tcPr>
          <w:p w14:paraId="4ED7CC15" w14:textId="77777777" w:rsidR="00954BC0" w:rsidRPr="00954BC0" w:rsidRDefault="00954BC0" w:rsidP="00954BC0">
            <w:pPr>
              <w:jc w:val="both"/>
              <w:rPr>
                <w:rFonts w:cs="Calibri"/>
                <w:color w:val="000000"/>
                <w:sz w:val="20"/>
                <w:szCs w:val="20"/>
                <w:lang w:val="es-419" w:eastAsia="en-US"/>
              </w:rPr>
            </w:pPr>
            <w:r w:rsidRPr="00954BC0">
              <w:rPr>
                <w:rFonts w:cs="Calibri"/>
                <w:color w:val="000000"/>
                <w:sz w:val="20"/>
                <w:szCs w:val="20"/>
                <w:lang w:val="es-ES_tradnl" w:eastAsia="en-US"/>
              </w:rPr>
              <w:t></w:t>
            </w:r>
            <w:r>
              <w:rPr>
                <w:rFonts w:cs="Calibri"/>
                <w:color w:val="000000"/>
                <w:sz w:val="20"/>
                <w:szCs w:val="20"/>
                <w:lang w:val="es-ES_tradnl" w:eastAsia="en-US"/>
              </w:rPr>
              <w:t xml:space="preserve"> </w:t>
            </w:r>
            <w:r w:rsidRPr="00954BC0">
              <w:rPr>
                <w:rFonts w:cs="Calibri"/>
                <w:color w:val="000000"/>
                <w:sz w:val="20"/>
                <w:szCs w:val="20"/>
                <w:lang w:val="es-ES_tradnl" w:eastAsia="en-US"/>
              </w:rPr>
              <w:t xml:space="preserve">Acuerdo de Sub-donación Número: </w:t>
            </w:r>
            <w:r w:rsidRPr="00954BC0">
              <w:rPr>
                <w:rFonts w:cs="Calibri"/>
                <w:b/>
                <w:bCs/>
                <w:color w:val="000000"/>
                <w:sz w:val="20"/>
                <w:szCs w:val="20"/>
                <w:lang w:val="es-ES_tradnl" w:eastAsia="en-US"/>
              </w:rPr>
              <w:t>NIC-M-REDNICA-NC-SAN LUCAS-002-2022</w:t>
            </w:r>
            <w:r w:rsidRPr="00954BC0">
              <w:rPr>
                <w:rFonts w:cs="Calibri"/>
                <w:color w:val="000000"/>
                <w:sz w:val="20"/>
                <w:szCs w:val="20"/>
                <w:lang w:val="es-ES_tradnl" w:eastAsia="en-US"/>
              </w:rPr>
              <w:t>, suscrito entre Federación Red NicaSalud y Fundación San Lucas Nicaragua.</w:t>
            </w:r>
          </w:p>
        </w:tc>
      </w:tr>
      <w:tr w:rsidR="00954BC0" w:rsidRPr="00FC0297" w14:paraId="733C2F0A" w14:textId="77777777" w:rsidTr="00954BC0">
        <w:trPr>
          <w:trHeight w:val="582"/>
        </w:trPr>
        <w:tc>
          <w:tcPr>
            <w:tcW w:w="9946" w:type="dxa"/>
            <w:tcBorders>
              <w:top w:val="nil"/>
              <w:left w:val="single" w:sz="8" w:space="0" w:color="auto"/>
              <w:bottom w:val="single" w:sz="8" w:space="0" w:color="auto"/>
              <w:right w:val="single" w:sz="8" w:space="0" w:color="auto"/>
            </w:tcBorders>
            <w:shd w:val="clear" w:color="auto" w:fill="auto"/>
            <w:noWrap/>
            <w:vAlign w:val="center"/>
            <w:hideMark/>
          </w:tcPr>
          <w:p w14:paraId="4003F78A" w14:textId="77777777" w:rsidR="00954BC0" w:rsidRPr="00954BC0" w:rsidRDefault="00954BC0" w:rsidP="00954BC0">
            <w:pPr>
              <w:jc w:val="both"/>
              <w:rPr>
                <w:rFonts w:cs="Calibri"/>
                <w:color w:val="000000"/>
                <w:sz w:val="20"/>
                <w:szCs w:val="20"/>
                <w:lang w:val="es-419" w:eastAsia="en-US"/>
              </w:rPr>
            </w:pPr>
            <w:r w:rsidRPr="00954BC0">
              <w:rPr>
                <w:rFonts w:cs="Calibri"/>
                <w:color w:val="000000"/>
                <w:sz w:val="20"/>
                <w:szCs w:val="20"/>
                <w:lang w:val="es-ES_tradnl" w:eastAsia="en-US"/>
              </w:rPr>
              <w:t></w:t>
            </w:r>
            <w:r>
              <w:rPr>
                <w:rFonts w:cs="Calibri"/>
                <w:color w:val="000000"/>
                <w:sz w:val="20"/>
                <w:szCs w:val="20"/>
                <w:lang w:val="es-ES_tradnl" w:eastAsia="en-US"/>
              </w:rPr>
              <w:t xml:space="preserve"> </w:t>
            </w:r>
            <w:r w:rsidRPr="00954BC0">
              <w:rPr>
                <w:rFonts w:cs="Calibri"/>
                <w:color w:val="000000"/>
                <w:sz w:val="20"/>
                <w:szCs w:val="20"/>
                <w:lang w:val="es-ES_tradnl" w:eastAsia="en-US"/>
              </w:rPr>
              <w:t xml:space="preserve">Acuerdo de Sub-donación Número: </w:t>
            </w:r>
            <w:r w:rsidRPr="00954BC0">
              <w:rPr>
                <w:rFonts w:cs="Calibri"/>
                <w:b/>
                <w:bCs/>
                <w:color w:val="000000"/>
                <w:sz w:val="20"/>
                <w:szCs w:val="20"/>
                <w:lang w:val="es-ES_tradnl" w:eastAsia="en-US"/>
              </w:rPr>
              <w:t>NIC-M-REDNICA-MIGOB-003-2022</w:t>
            </w:r>
            <w:r w:rsidRPr="00954BC0">
              <w:rPr>
                <w:rFonts w:cs="Calibri"/>
                <w:color w:val="000000"/>
                <w:sz w:val="20"/>
                <w:szCs w:val="20"/>
                <w:lang w:val="es-ES_tradnl" w:eastAsia="en-US"/>
              </w:rPr>
              <w:t>, suscrito entre Federación Red NicaSalud y Ministerio de Gobernación (MIGOB).</w:t>
            </w:r>
          </w:p>
        </w:tc>
      </w:tr>
    </w:tbl>
    <w:p w14:paraId="66E57E87" w14:textId="77777777" w:rsidR="00CA431A" w:rsidRPr="00954BC0" w:rsidRDefault="00CA431A" w:rsidP="00762014">
      <w:pPr>
        <w:spacing w:after="120"/>
        <w:ind w:right="-22"/>
        <w:jc w:val="both"/>
        <w:rPr>
          <w:snapToGrid w:val="0"/>
          <w:sz w:val="24"/>
          <w:szCs w:val="22"/>
          <w:lang w:val="es-419" w:eastAsia="es-ES"/>
        </w:rPr>
      </w:pPr>
    </w:p>
    <w:p w14:paraId="0D33F077" w14:textId="77777777" w:rsidR="00CA431A" w:rsidRDefault="00CA431A" w:rsidP="00762014">
      <w:pPr>
        <w:spacing w:after="120"/>
        <w:ind w:right="-22"/>
        <w:jc w:val="both"/>
        <w:rPr>
          <w:snapToGrid w:val="0"/>
          <w:sz w:val="24"/>
          <w:szCs w:val="22"/>
          <w:lang w:val="es-ES_tradnl" w:eastAsia="es-ES"/>
        </w:rPr>
      </w:pPr>
    </w:p>
    <w:p w14:paraId="1C9CBC88" w14:textId="77777777" w:rsidR="002407ED" w:rsidRDefault="00BC7DF5" w:rsidP="00BC7DF5">
      <w:pPr>
        <w:spacing w:before="120" w:after="160"/>
        <w:jc w:val="both"/>
        <w:rPr>
          <w:snapToGrid w:val="0"/>
          <w:sz w:val="24"/>
          <w:szCs w:val="22"/>
          <w:lang w:val="es-ES_tradnl" w:eastAsia="es-ES"/>
        </w:rPr>
      </w:pPr>
      <w:r w:rsidRPr="00BC7DF5">
        <w:rPr>
          <w:snapToGrid w:val="0"/>
          <w:sz w:val="24"/>
          <w:szCs w:val="22"/>
          <w:lang w:val="es-ES_tradnl" w:eastAsia="es-ES"/>
        </w:rPr>
        <w:t>En el caso particular del SR MINSA, para ejecutar el proyecto, el MINSA Central realiza transferencias y/o pagos directos a los SILAIS donde se ubican los 8 municipios de cobertura del proyecto, que son: SILAIS Bilwi (Municipios Puerto Cabezas, Waspam y Prinzapolka), SILAIS Las Minas (Municipios Siuna, Bonanza, Rosita, Mulukukú y Bocana de Paiwas).</w:t>
      </w:r>
    </w:p>
    <w:p w14:paraId="43F962D5" w14:textId="77777777" w:rsidR="002407ED" w:rsidRDefault="002407ED" w:rsidP="002407ED">
      <w:pPr>
        <w:spacing w:before="120" w:after="160"/>
        <w:jc w:val="both"/>
        <w:rPr>
          <w:snapToGrid w:val="0"/>
          <w:sz w:val="24"/>
          <w:szCs w:val="22"/>
          <w:lang w:val="es-ES_tradnl" w:eastAsia="es-ES"/>
        </w:rPr>
      </w:pPr>
      <w:r>
        <w:rPr>
          <w:snapToGrid w:val="0"/>
          <w:sz w:val="24"/>
          <w:szCs w:val="22"/>
          <w:lang w:val="es-ES_tradnl" w:eastAsia="es-ES"/>
        </w:rPr>
        <w:t xml:space="preserve">Con el componente C19RM COVID 2.0, se realizarán actividades </w:t>
      </w:r>
      <w:r w:rsidR="00252373">
        <w:rPr>
          <w:snapToGrid w:val="0"/>
          <w:sz w:val="24"/>
          <w:szCs w:val="22"/>
          <w:lang w:val="es-ES_tradnl" w:eastAsia="es-ES"/>
        </w:rPr>
        <w:t>con el MINSA</w:t>
      </w:r>
      <w:r w:rsidR="000A617B">
        <w:rPr>
          <w:snapToGrid w:val="0"/>
          <w:sz w:val="24"/>
          <w:szCs w:val="22"/>
          <w:lang w:val="es-ES_tradnl" w:eastAsia="es-ES"/>
        </w:rPr>
        <w:t xml:space="preserve"> en 24 municipios y 10 SILAIS, </w:t>
      </w:r>
      <w:r w:rsidR="00252373">
        <w:rPr>
          <w:snapToGrid w:val="0"/>
          <w:sz w:val="24"/>
          <w:szCs w:val="22"/>
          <w:lang w:val="es-ES_tradnl" w:eastAsia="es-ES"/>
        </w:rPr>
        <w:t>en el caso d</w:t>
      </w:r>
      <w:r>
        <w:rPr>
          <w:snapToGrid w:val="0"/>
          <w:sz w:val="24"/>
          <w:szCs w:val="22"/>
          <w:lang w:val="es-ES_tradnl" w:eastAsia="es-ES"/>
        </w:rPr>
        <w:t>el Ministerio de Gobernación</w:t>
      </w:r>
      <w:r w:rsidR="000A617B">
        <w:rPr>
          <w:snapToGrid w:val="0"/>
          <w:sz w:val="24"/>
          <w:szCs w:val="22"/>
          <w:lang w:val="es-ES_tradnl" w:eastAsia="es-ES"/>
        </w:rPr>
        <w:t xml:space="preserve"> en 10 sistemas penitenciario con población cautiva</w:t>
      </w:r>
      <w:r w:rsidR="00252373">
        <w:rPr>
          <w:snapToGrid w:val="0"/>
          <w:sz w:val="24"/>
          <w:szCs w:val="22"/>
          <w:lang w:val="es-ES_tradnl" w:eastAsia="es-ES"/>
        </w:rPr>
        <w:t>,</w:t>
      </w:r>
      <w:r>
        <w:rPr>
          <w:snapToGrid w:val="0"/>
          <w:sz w:val="24"/>
          <w:szCs w:val="22"/>
          <w:lang w:val="es-ES_tradnl" w:eastAsia="es-ES"/>
        </w:rPr>
        <w:t xml:space="preserve"> estas actividades están descritas en </w:t>
      </w:r>
      <w:r w:rsidR="00F31234">
        <w:rPr>
          <w:snapToGrid w:val="0"/>
          <w:sz w:val="24"/>
          <w:szCs w:val="22"/>
          <w:lang w:val="es-ES_tradnl" w:eastAsia="es-ES"/>
        </w:rPr>
        <w:t xml:space="preserve">los </w:t>
      </w:r>
      <w:r>
        <w:rPr>
          <w:snapToGrid w:val="0"/>
          <w:sz w:val="24"/>
          <w:szCs w:val="22"/>
          <w:lang w:val="es-ES_tradnl" w:eastAsia="es-ES"/>
        </w:rPr>
        <w:t>Subconvenio</w:t>
      </w:r>
      <w:r w:rsidR="00F31234">
        <w:rPr>
          <w:snapToGrid w:val="0"/>
          <w:sz w:val="24"/>
          <w:szCs w:val="22"/>
          <w:lang w:val="es-ES_tradnl" w:eastAsia="es-ES"/>
        </w:rPr>
        <w:t>s con los Subrecptores.</w:t>
      </w:r>
    </w:p>
    <w:p w14:paraId="51514C69" w14:textId="77777777" w:rsidR="00CA431A" w:rsidRDefault="00B1346D" w:rsidP="0057539E">
      <w:pPr>
        <w:spacing w:before="120" w:after="160"/>
        <w:jc w:val="both"/>
        <w:rPr>
          <w:snapToGrid w:val="0"/>
          <w:sz w:val="24"/>
          <w:szCs w:val="22"/>
          <w:lang w:val="es-ES_tradnl" w:eastAsia="es-ES"/>
        </w:rPr>
      </w:pPr>
      <w:r w:rsidRPr="00915460">
        <w:rPr>
          <w:snapToGrid w:val="0"/>
          <w:sz w:val="24"/>
          <w:szCs w:val="22"/>
          <w:lang w:val="es-ES_tradnl" w:eastAsia="es-ES"/>
        </w:rPr>
        <w:t xml:space="preserve">El presupuesto </w:t>
      </w:r>
      <w:r w:rsidR="003C6583" w:rsidRPr="00915460">
        <w:rPr>
          <w:snapToGrid w:val="0"/>
          <w:sz w:val="24"/>
          <w:szCs w:val="22"/>
          <w:lang w:val="es-ES_tradnl" w:eastAsia="es-ES"/>
        </w:rPr>
        <w:t>(moneda US$)</w:t>
      </w:r>
      <w:r w:rsidR="0057539E">
        <w:rPr>
          <w:snapToGrid w:val="0"/>
          <w:sz w:val="24"/>
          <w:szCs w:val="22"/>
          <w:lang w:val="es-ES_tradnl" w:eastAsia="es-ES"/>
        </w:rPr>
        <w:t xml:space="preserve"> por componente y </w:t>
      </w:r>
      <w:r w:rsidRPr="00915460">
        <w:rPr>
          <w:snapToGrid w:val="0"/>
          <w:sz w:val="24"/>
          <w:szCs w:val="22"/>
          <w:lang w:val="es-ES_tradnl" w:eastAsia="es-ES"/>
        </w:rPr>
        <w:t xml:space="preserve">por ejecutor correspondiente al </w:t>
      </w:r>
      <w:r w:rsidR="00904C05">
        <w:rPr>
          <w:snapToGrid w:val="0"/>
          <w:sz w:val="24"/>
          <w:szCs w:val="22"/>
          <w:lang w:val="es-ES_tradnl" w:eastAsia="es-ES"/>
        </w:rPr>
        <w:t>período</w:t>
      </w:r>
      <w:r w:rsidRPr="00915460">
        <w:rPr>
          <w:snapToGrid w:val="0"/>
          <w:sz w:val="24"/>
          <w:szCs w:val="22"/>
          <w:lang w:val="es-ES_tradnl" w:eastAsia="es-ES"/>
        </w:rPr>
        <w:t xml:space="preserve"> de la subvención que será objeto de auditoría financiera, se detalla</w:t>
      </w:r>
      <w:r w:rsidR="00764C27" w:rsidRPr="00915460">
        <w:rPr>
          <w:snapToGrid w:val="0"/>
          <w:sz w:val="24"/>
          <w:szCs w:val="22"/>
          <w:lang w:val="es-ES_tradnl" w:eastAsia="es-ES"/>
        </w:rPr>
        <w:t>n</w:t>
      </w:r>
      <w:r w:rsidRPr="00915460">
        <w:rPr>
          <w:snapToGrid w:val="0"/>
          <w:sz w:val="24"/>
          <w:szCs w:val="22"/>
          <w:lang w:val="es-ES_tradnl" w:eastAsia="es-ES"/>
        </w:rPr>
        <w:t xml:space="preserve"> en la</w:t>
      </w:r>
      <w:r w:rsidR="00492FDC">
        <w:rPr>
          <w:snapToGrid w:val="0"/>
          <w:sz w:val="24"/>
          <w:szCs w:val="22"/>
          <w:lang w:val="es-ES_tradnl" w:eastAsia="es-ES"/>
        </w:rPr>
        <w:t>s</w:t>
      </w:r>
      <w:r w:rsidRPr="00915460">
        <w:rPr>
          <w:snapToGrid w:val="0"/>
          <w:sz w:val="24"/>
          <w:szCs w:val="22"/>
          <w:lang w:val="es-ES_tradnl" w:eastAsia="es-ES"/>
        </w:rPr>
        <w:t xml:space="preserve"> siguiente</w:t>
      </w:r>
      <w:r w:rsidR="0057539E">
        <w:rPr>
          <w:snapToGrid w:val="0"/>
          <w:sz w:val="24"/>
          <w:szCs w:val="22"/>
          <w:lang w:val="es-ES_tradnl" w:eastAsia="es-ES"/>
        </w:rPr>
        <w:t>s</w:t>
      </w:r>
      <w:r w:rsidRPr="00915460">
        <w:rPr>
          <w:snapToGrid w:val="0"/>
          <w:sz w:val="24"/>
          <w:szCs w:val="22"/>
          <w:lang w:val="es-ES_tradnl" w:eastAsia="es-ES"/>
        </w:rPr>
        <w:t xml:space="preserve"> tabla</w:t>
      </w:r>
      <w:r w:rsidR="0057539E">
        <w:rPr>
          <w:snapToGrid w:val="0"/>
          <w:sz w:val="24"/>
          <w:szCs w:val="22"/>
          <w:lang w:val="es-ES_tradnl" w:eastAsia="es-ES"/>
        </w:rPr>
        <w:t>s para Malaria y para C19RM COVID 2.0</w:t>
      </w:r>
      <w:r w:rsidR="008564B2" w:rsidRPr="00915460">
        <w:rPr>
          <w:snapToGrid w:val="0"/>
          <w:sz w:val="24"/>
          <w:szCs w:val="22"/>
          <w:lang w:val="es-ES_tradnl" w:eastAsia="es-ES"/>
        </w:rPr>
        <w:t>:</w:t>
      </w:r>
    </w:p>
    <w:p w14:paraId="36ED397A" w14:textId="77777777" w:rsidR="005002FF" w:rsidRDefault="005002FF" w:rsidP="00B1346D">
      <w:pPr>
        <w:widowControl w:val="0"/>
        <w:rPr>
          <w:snapToGrid w:val="0"/>
          <w:sz w:val="24"/>
          <w:szCs w:val="22"/>
          <w:lang w:val="es-ES_tradnl" w:eastAsia="es-ES"/>
        </w:rPr>
      </w:pPr>
    </w:p>
    <w:p w14:paraId="45C2D549" w14:textId="77777777" w:rsidR="005002FF" w:rsidRDefault="00CA431A" w:rsidP="00B1346D">
      <w:pPr>
        <w:widowControl w:val="0"/>
        <w:rPr>
          <w:snapToGrid w:val="0"/>
          <w:sz w:val="24"/>
          <w:szCs w:val="22"/>
          <w:lang w:val="es-ES_tradnl" w:eastAsia="es-ES"/>
        </w:rPr>
      </w:pPr>
      <w:r>
        <w:rPr>
          <w:noProof/>
          <w:snapToGrid w:val="0"/>
          <w:sz w:val="24"/>
          <w:szCs w:val="22"/>
          <w:lang w:val="en-US" w:eastAsia="en-US"/>
        </w:rPr>
        <w:drawing>
          <wp:inline distT="0" distB="0" distL="0" distR="0" wp14:anchorId="45156B8B" wp14:editId="61CB859E">
            <wp:extent cx="6480810" cy="14268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1426845"/>
                    </a:xfrm>
                    <a:prstGeom prst="rect">
                      <a:avLst/>
                    </a:prstGeom>
                    <a:noFill/>
                  </pic:spPr>
                </pic:pic>
              </a:graphicData>
            </a:graphic>
          </wp:inline>
        </w:drawing>
      </w:r>
    </w:p>
    <w:p w14:paraId="5E7D34CC" w14:textId="77777777" w:rsidR="00CA431A" w:rsidRDefault="00CA431A" w:rsidP="00B1346D">
      <w:pPr>
        <w:widowControl w:val="0"/>
        <w:rPr>
          <w:snapToGrid w:val="0"/>
          <w:sz w:val="24"/>
          <w:szCs w:val="22"/>
          <w:lang w:val="es-ES_tradnl" w:eastAsia="es-ES"/>
        </w:rPr>
      </w:pPr>
    </w:p>
    <w:p w14:paraId="045F69CD" w14:textId="77777777" w:rsidR="00CA431A" w:rsidRDefault="00CA431A" w:rsidP="00B1346D">
      <w:pPr>
        <w:widowControl w:val="0"/>
        <w:rPr>
          <w:snapToGrid w:val="0"/>
          <w:sz w:val="24"/>
          <w:szCs w:val="22"/>
          <w:lang w:val="es-ES_tradnl" w:eastAsia="es-ES"/>
        </w:rPr>
      </w:pPr>
    </w:p>
    <w:p w14:paraId="5B6AA255" w14:textId="77777777" w:rsidR="00CA431A" w:rsidRDefault="00CA431A" w:rsidP="00B1346D">
      <w:pPr>
        <w:widowControl w:val="0"/>
        <w:rPr>
          <w:snapToGrid w:val="0"/>
          <w:sz w:val="24"/>
          <w:szCs w:val="22"/>
          <w:lang w:val="es-ES_tradnl" w:eastAsia="es-ES"/>
        </w:rPr>
      </w:pPr>
    </w:p>
    <w:p w14:paraId="24E26DF3" w14:textId="77777777" w:rsidR="00CA431A" w:rsidRDefault="00CA431A" w:rsidP="00B1346D">
      <w:pPr>
        <w:widowControl w:val="0"/>
        <w:rPr>
          <w:snapToGrid w:val="0"/>
          <w:sz w:val="24"/>
          <w:szCs w:val="22"/>
          <w:lang w:val="es-ES_tradnl" w:eastAsia="es-ES"/>
        </w:rPr>
      </w:pPr>
    </w:p>
    <w:p w14:paraId="1DA0B94E" w14:textId="77777777" w:rsidR="00CA431A" w:rsidRDefault="00CA431A" w:rsidP="00B1346D">
      <w:pPr>
        <w:widowControl w:val="0"/>
        <w:rPr>
          <w:snapToGrid w:val="0"/>
          <w:sz w:val="24"/>
          <w:szCs w:val="22"/>
          <w:lang w:val="es-ES_tradnl" w:eastAsia="es-ES"/>
        </w:rPr>
      </w:pPr>
      <w:r>
        <w:rPr>
          <w:noProof/>
          <w:snapToGrid w:val="0"/>
          <w:sz w:val="24"/>
          <w:szCs w:val="22"/>
          <w:lang w:val="en-US" w:eastAsia="en-US"/>
        </w:rPr>
        <w:drawing>
          <wp:inline distT="0" distB="0" distL="0" distR="0" wp14:anchorId="57D1DB3C" wp14:editId="28D468A9">
            <wp:extent cx="6389370" cy="11887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1188720"/>
                    </a:xfrm>
                    <a:prstGeom prst="rect">
                      <a:avLst/>
                    </a:prstGeom>
                    <a:noFill/>
                  </pic:spPr>
                </pic:pic>
              </a:graphicData>
            </a:graphic>
          </wp:inline>
        </w:drawing>
      </w:r>
    </w:p>
    <w:p w14:paraId="39F19764" w14:textId="77777777" w:rsidR="00CA431A" w:rsidRDefault="00CA431A" w:rsidP="00B1346D">
      <w:pPr>
        <w:widowControl w:val="0"/>
        <w:rPr>
          <w:snapToGrid w:val="0"/>
          <w:sz w:val="24"/>
          <w:szCs w:val="22"/>
          <w:lang w:val="es-ES_tradnl" w:eastAsia="es-ES"/>
        </w:rPr>
      </w:pPr>
    </w:p>
    <w:p w14:paraId="044997B2" w14:textId="77777777" w:rsidR="00B77E57" w:rsidRPr="00D16DDF" w:rsidRDefault="00B77E57" w:rsidP="00B1346D">
      <w:pPr>
        <w:widowControl w:val="0"/>
        <w:rPr>
          <w:b/>
          <w:bCs/>
          <w:snapToGrid w:val="0"/>
          <w:szCs w:val="22"/>
          <w:lang w:val="es-ES_tradnl" w:eastAsia="es-ES"/>
        </w:rPr>
      </w:pPr>
    </w:p>
    <w:p w14:paraId="164D3C44" w14:textId="77777777" w:rsidR="00B1346D" w:rsidRPr="00762014" w:rsidRDefault="00B1346D" w:rsidP="00B1346D">
      <w:pPr>
        <w:widowControl w:val="0"/>
        <w:rPr>
          <w:snapToGrid w:val="0"/>
          <w:sz w:val="24"/>
          <w:szCs w:val="22"/>
          <w:lang w:val="es-ES_tradnl" w:eastAsia="es-ES"/>
        </w:rPr>
      </w:pPr>
      <w:r w:rsidRPr="00762014">
        <w:rPr>
          <w:snapToGrid w:val="0"/>
          <w:sz w:val="24"/>
          <w:szCs w:val="22"/>
          <w:lang w:val="es-ES_tradnl" w:eastAsia="es-ES"/>
        </w:rPr>
        <w:t xml:space="preserve">La distribución del presupuesto en dólares </w:t>
      </w:r>
      <w:r w:rsidR="006F5BB7" w:rsidRPr="00762014">
        <w:rPr>
          <w:snapToGrid w:val="0"/>
          <w:sz w:val="24"/>
          <w:szCs w:val="22"/>
          <w:lang w:val="es-ES_tradnl" w:eastAsia="es-ES"/>
        </w:rPr>
        <w:t>por categoría de gastos</w:t>
      </w:r>
      <w:r w:rsidR="0057539E">
        <w:rPr>
          <w:snapToGrid w:val="0"/>
          <w:sz w:val="24"/>
          <w:szCs w:val="22"/>
          <w:lang w:val="es-ES_tradnl" w:eastAsia="es-ES"/>
        </w:rPr>
        <w:t xml:space="preserve"> para toda la subvención</w:t>
      </w:r>
      <w:r w:rsidR="006F5BB7" w:rsidRPr="00762014">
        <w:rPr>
          <w:snapToGrid w:val="0"/>
          <w:sz w:val="24"/>
          <w:szCs w:val="22"/>
          <w:lang w:val="es-ES_tradnl" w:eastAsia="es-ES"/>
        </w:rPr>
        <w:t xml:space="preserve"> </w:t>
      </w:r>
      <w:r w:rsidRPr="00762014">
        <w:rPr>
          <w:snapToGrid w:val="0"/>
          <w:sz w:val="24"/>
          <w:szCs w:val="22"/>
          <w:lang w:val="es-ES_tradnl" w:eastAsia="es-ES"/>
        </w:rPr>
        <w:t>se detalla a continuación:</w:t>
      </w:r>
      <w:r w:rsidRPr="00762014">
        <w:rPr>
          <w:snapToGrid w:val="0"/>
          <w:sz w:val="24"/>
          <w:szCs w:val="22"/>
          <w:lang w:val="es-ES_tradnl" w:eastAsia="es-ES"/>
        </w:rPr>
        <w:fldChar w:fldCharType="begin"/>
      </w:r>
      <w:r w:rsidRPr="00762014">
        <w:rPr>
          <w:snapToGrid w:val="0"/>
          <w:sz w:val="24"/>
          <w:szCs w:val="22"/>
          <w:lang w:val="es-ES_tradnl" w:eastAsia="es-ES"/>
        </w:rPr>
        <w:instrText xml:space="preserve"> LINK Excel.Sheet.12 "C:\\NicaSalud\\Consolidación\\Proyecto consolidado de Malaria\\NIC-M-REDNICA_SB_Year_1_3_FINAL_ENG.xlsx" "Hoja2!F2C2:F13C4" \a \f 4 \h  \* MERGEFORMAT </w:instrText>
      </w:r>
      <w:r w:rsidRPr="00762014">
        <w:rPr>
          <w:snapToGrid w:val="0"/>
          <w:sz w:val="24"/>
          <w:szCs w:val="22"/>
          <w:lang w:val="es-ES_tradnl" w:eastAsia="es-ES"/>
        </w:rPr>
        <w:fldChar w:fldCharType="separate"/>
      </w:r>
    </w:p>
    <w:p w14:paraId="2C0DC3D0" w14:textId="77777777" w:rsidR="003B5D71" w:rsidRPr="00D16DDF" w:rsidRDefault="00B1346D" w:rsidP="00B1346D">
      <w:pPr>
        <w:widowControl w:val="0"/>
        <w:jc w:val="both"/>
        <w:rPr>
          <w:snapToGrid w:val="0"/>
          <w:szCs w:val="22"/>
          <w:lang w:val="es-ES_tradnl" w:eastAsia="es-ES"/>
        </w:rPr>
      </w:pPr>
      <w:r w:rsidRPr="00762014">
        <w:rPr>
          <w:snapToGrid w:val="0"/>
          <w:sz w:val="24"/>
          <w:szCs w:val="22"/>
          <w:lang w:val="es-ES_tradnl" w:eastAsia="es-ES"/>
        </w:rPr>
        <w:fldChar w:fldCharType="end"/>
      </w:r>
    </w:p>
    <w:tbl>
      <w:tblPr>
        <w:tblW w:w="8780" w:type="dxa"/>
        <w:jc w:val="center"/>
        <w:tblLook w:val="04A0" w:firstRow="1" w:lastRow="0" w:firstColumn="1" w:lastColumn="0" w:noHBand="0" w:noVBand="1"/>
      </w:tblPr>
      <w:tblGrid>
        <w:gridCol w:w="4740"/>
        <w:gridCol w:w="1106"/>
        <w:gridCol w:w="1106"/>
        <w:gridCol w:w="1106"/>
        <w:gridCol w:w="1217"/>
      </w:tblGrid>
      <w:tr w:rsidR="00CA431A" w:rsidRPr="00CA431A" w14:paraId="3F714535" w14:textId="77777777" w:rsidTr="00954BC0">
        <w:trPr>
          <w:trHeight w:val="433"/>
          <w:jc w:val="center"/>
        </w:trPr>
        <w:tc>
          <w:tcPr>
            <w:tcW w:w="4740" w:type="dxa"/>
            <w:tcBorders>
              <w:top w:val="single" w:sz="8" w:space="0" w:color="auto"/>
              <w:left w:val="single" w:sz="8" w:space="0" w:color="auto"/>
              <w:bottom w:val="single" w:sz="4" w:space="0" w:color="auto"/>
              <w:right w:val="single" w:sz="4" w:space="0" w:color="auto"/>
            </w:tcBorders>
            <w:shd w:val="clear" w:color="000000" w:fill="D9E1F2"/>
            <w:noWrap/>
            <w:vAlign w:val="center"/>
            <w:hideMark/>
          </w:tcPr>
          <w:p w14:paraId="271DC480" w14:textId="77777777" w:rsidR="00CA431A" w:rsidRPr="00CA431A" w:rsidRDefault="00CA431A" w:rsidP="00CA431A">
            <w:pPr>
              <w:jc w:val="center"/>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Por agrupación de costo</w:t>
            </w:r>
          </w:p>
        </w:tc>
        <w:tc>
          <w:tcPr>
            <w:tcW w:w="980" w:type="dxa"/>
            <w:tcBorders>
              <w:top w:val="single" w:sz="8" w:space="0" w:color="auto"/>
              <w:left w:val="nil"/>
              <w:bottom w:val="single" w:sz="4" w:space="0" w:color="auto"/>
              <w:right w:val="single" w:sz="4" w:space="0" w:color="auto"/>
            </w:tcBorders>
            <w:shd w:val="clear" w:color="000000" w:fill="D9E1F2"/>
            <w:noWrap/>
            <w:vAlign w:val="center"/>
            <w:hideMark/>
          </w:tcPr>
          <w:p w14:paraId="3C083658" w14:textId="77777777" w:rsidR="00CA431A" w:rsidRPr="00CA431A" w:rsidRDefault="00CA431A" w:rsidP="00CA431A">
            <w:pPr>
              <w:jc w:val="center"/>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Año 1</w:t>
            </w:r>
          </w:p>
        </w:tc>
        <w:tc>
          <w:tcPr>
            <w:tcW w:w="980" w:type="dxa"/>
            <w:tcBorders>
              <w:top w:val="single" w:sz="8" w:space="0" w:color="auto"/>
              <w:left w:val="nil"/>
              <w:bottom w:val="single" w:sz="4" w:space="0" w:color="auto"/>
              <w:right w:val="single" w:sz="4" w:space="0" w:color="auto"/>
            </w:tcBorders>
            <w:shd w:val="clear" w:color="000000" w:fill="D9E1F2"/>
            <w:noWrap/>
            <w:vAlign w:val="center"/>
            <w:hideMark/>
          </w:tcPr>
          <w:p w14:paraId="2219B1A0" w14:textId="77777777" w:rsidR="00CA431A" w:rsidRPr="00CA431A" w:rsidRDefault="00CA431A" w:rsidP="00CA431A">
            <w:pPr>
              <w:jc w:val="center"/>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Año 2</w:t>
            </w:r>
          </w:p>
        </w:tc>
        <w:tc>
          <w:tcPr>
            <w:tcW w:w="980" w:type="dxa"/>
            <w:tcBorders>
              <w:top w:val="single" w:sz="8" w:space="0" w:color="auto"/>
              <w:left w:val="nil"/>
              <w:bottom w:val="single" w:sz="4" w:space="0" w:color="auto"/>
              <w:right w:val="single" w:sz="4" w:space="0" w:color="auto"/>
            </w:tcBorders>
            <w:shd w:val="clear" w:color="000000" w:fill="D9E1F2"/>
            <w:noWrap/>
            <w:vAlign w:val="center"/>
            <w:hideMark/>
          </w:tcPr>
          <w:p w14:paraId="4EC010EE" w14:textId="77777777" w:rsidR="00CA431A" w:rsidRPr="00CA431A" w:rsidRDefault="00CA431A" w:rsidP="00CA431A">
            <w:pPr>
              <w:jc w:val="center"/>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Año 3</w:t>
            </w:r>
          </w:p>
        </w:tc>
        <w:tc>
          <w:tcPr>
            <w:tcW w:w="1100" w:type="dxa"/>
            <w:tcBorders>
              <w:top w:val="single" w:sz="8" w:space="0" w:color="auto"/>
              <w:left w:val="nil"/>
              <w:bottom w:val="single" w:sz="4" w:space="0" w:color="auto"/>
              <w:right w:val="single" w:sz="8" w:space="0" w:color="auto"/>
            </w:tcBorders>
            <w:shd w:val="clear" w:color="000000" w:fill="D9E1F2"/>
            <w:noWrap/>
            <w:vAlign w:val="center"/>
            <w:hideMark/>
          </w:tcPr>
          <w:p w14:paraId="39565114" w14:textId="77777777" w:rsidR="00CA431A" w:rsidRPr="00CA431A" w:rsidRDefault="00CA431A" w:rsidP="00CA431A">
            <w:pPr>
              <w:jc w:val="center"/>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Total</w:t>
            </w:r>
          </w:p>
        </w:tc>
      </w:tr>
      <w:tr w:rsidR="00CA431A" w:rsidRPr="00CA431A" w14:paraId="037C68FF"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7778CD07"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1.0 Recursos Humanos (RRHH)</w:t>
            </w:r>
          </w:p>
        </w:tc>
        <w:tc>
          <w:tcPr>
            <w:tcW w:w="980" w:type="dxa"/>
            <w:tcBorders>
              <w:top w:val="nil"/>
              <w:left w:val="nil"/>
              <w:bottom w:val="single" w:sz="4" w:space="0" w:color="auto"/>
              <w:right w:val="single" w:sz="4" w:space="0" w:color="auto"/>
            </w:tcBorders>
            <w:shd w:val="clear" w:color="000000" w:fill="E7E6E6"/>
            <w:noWrap/>
            <w:vAlign w:val="bottom"/>
            <w:hideMark/>
          </w:tcPr>
          <w:p w14:paraId="705E906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414,912</w:t>
            </w:r>
          </w:p>
        </w:tc>
        <w:tc>
          <w:tcPr>
            <w:tcW w:w="980" w:type="dxa"/>
            <w:tcBorders>
              <w:top w:val="nil"/>
              <w:left w:val="nil"/>
              <w:bottom w:val="single" w:sz="4" w:space="0" w:color="auto"/>
              <w:right w:val="single" w:sz="4" w:space="0" w:color="auto"/>
            </w:tcBorders>
            <w:shd w:val="clear" w:color="000000" w:fill="E7E6E6"/>
            <w:noWrap/>
            <w:vAlign w:val="bottom"/>
            <w:hideMark/>
          </w:tcPr>
          <w:p w14:paraId="76D5EFC4"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399,441</w:t>
            </w:r>
          </w:p>
        </w:tc>
        <w:tc>
          <w:tcPr>
            <w:tcW w:w="980" w:type="dxa"/>
            <w:tcBorders>
              <w:top w:val="nil"/>
              <w:left w:val="nil"/>
              <w:bottom w:val="single" w:sz="4" w:space="0" w:color="auto"/>
              <w:right w:val="single" w:sz="4" w:space="0" w:color="auto"/>
            </w:tcBorders>
            <w:shd w:val="clear" w:color="000000" w:fill="E7E6E6"/>
            <w:noWrap/>
            <w:vAlign w:val="bottom"/>
            <w:hideMark/>
          </w:tcPr>
          <w:p w14:paraId="085C2F43"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384,593</w:t>
            </w:r>
          </w:p>
        </w:tc>
        <w:tc>
          <w:tcPr>
            <w:tcW w:w="1100" w:type="dxa"/>
            <w:tcBorders>
              <w:top w:val="nil"/>
              <w:left w:val="nil"/>
              <w:bottom w:val="single" w:sz="4" w:space="0" w:color="auto"/>
              <w:right w:val="single" w:sz="8" w:space="0" w:color="auto"/>
            </w:tcBorders>
            <w:shd w:val="clear" w:color="auto" w:fill="auto"/>
            <w:noWrap/>
            <w:vAlign w:val="bottom"/>
            <w:hideMark/>
          </w:tcPr>
          <w:p w14:paraId="538DD6F5"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1,198,946</w:t>
            </w:r>
          </w:p>
        </w:tc>
      </w:tr>
      <w:tr w:rsidR="00CA431A" w:rsidRPr="00CA431A" w14:paraId="6488313E"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56D4B901"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2.0 Costos relacionados con viajes</w:t>
            </w:r>
          </w:p>
        </w:tc>
        <w:tc>
          <w:tcPr>
            <w:tcW w:w="980" w:type="dxa"/>
            <w:tcBorders>
              <w:top w:val="nil"/>
              <w:left w:val="nil"/>
              <w:bottom w:val="single" w:sz="4" w:space="0" w:color="auto"/>
              <w:right w:val="single" w:sz="4" w:space="0" w:color="auto"/>
            </w:tcBorders>
            <w:shd w:val="clear" w:color="000000" w:fill="E7E6E6"/>
            <w:noWrap/>
            <w:vAlign w:val="bottom"/>
            <w:hideMark/>
          </w:tcPr>
          <w:p w14:paraId="39CA484F"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709,538</w:t>
            </w:r>
          </w:p>
        </w:tc>
        <w:tc>
          <w:tcPr>
            <w:tcW w:w="980" w:type="dxa"/>
            <w:tcBorders>
              <w:top w:val="nil"/>
              <w:left w:val="nil"/>
              <w:bottom w:val="single" w:sz="4" w:space="0" w:color="auto"/>
              <w:right w:val="single" w:sz="4" w:space="0" w:color="auto"/>
            </w:tcBorders>
            <w:shd w:val="clear" w:color="000000" w:fill="E7E6E6"/>
            <w:noWrap/>
            <w:vAlign w:val="bottom"/>
            <w:hideMark/>
          </w:tcPr>
          <w:p w14:paraId="2044DC96"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592,280</w:t>
            </w:r>
          </w:p>
        </w:tc>
        <w:tc>
          <w:tcPr>
            <w:tcW w:w="980" w:type="dxa"/>
            <w:tcBorders>
              <w:top w:val="nil"/>
              <w:left w:val="nil"/>
              <w:bottom w:val="single" w:sz="4" w:space="0" w:color="auto"/>
              <w:right w:val="single" w:sz="4" w:space="0" w:color="auto"/>
            </w:tcBorders>
            <w:shd w:val="clear" w:color="000000" w:fill="E7E6E6"/>
            <w:noWrap/>
            <w:vAlign w:val="bottom"/>
            <w:hideMark/>
          </w:tcPr>
          <w:p w14:paraId="0CCF30D3"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290,253</w:t>
            </w:r>
          </w:p>
        </w:tc>
        <w:tc>
          <w:tcPr>
            <w:tcW w:w="1100" w:type="dxa"/>
            <w:tcBorders>
              <w:top w:val="nil"/>
              <w:left w:val="nil"/>
              <w:bottom w:val="single" w:sz="4" w:space="0" w:color="auto"/>
              <w:right w:val="single" w:sz="8" w:space="0" w:color="auto"/>
            </w:tcBorders>
            <w:shd w:val="clear" w:color="auto" w:fill="auto"/>
            <w:noWrap/>
            <w:vAlign w:val="bottom"/>
            <w:hideMark/>
          </w:tcPr>
          <w:p w14:paraId="0390C953"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1,592,071</w:t>
            </w:r>
          </w:p>
        </w:tc>
      </w:tr>
      <w:tr w:rsidR="00CA431A" w:rsidRPr="00CA431A" w14:paraId="501921CE"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57D60B49"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3.0 Servicios Profesionales externos (SPE)</w:t>
            </w:r>
          </w:p>
        </w:tc>
        <w:tc>
          <w:tcPr>
            <w:tcW w:w="980" w:type="dxa"/>
            <w:tcBorders>
              <w:top w:val="nil"/>
              <w:left w:val="nil"/>
              <w:bottom w:val="single" w:sz="4" w:space="0" w:color="auto"/>
              <w:right w:val="single" w:sz="4" w:space="0" w:color="auto"/>
            </w:tcBorders>
            <w:shd w:val="clear" w:color="000000" w:fill="E7E6E6"/>
            <w:noWrap/>
            <w:vAlign w:val="bottom"/>
            <w:hideMark/>
          </w:tcPr>
          <w:p w14:paraId="497BE1B6"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198,413</w:t>
            </w:r>
          </w:p>
        </w:tc>
        <w:tc>
          <w:tcPr>
            <w:tcW w:w="980" w:type="dxa"/>
            <w:tcBorders>
              <w:top w:val="nil"/>
              <w:left w:val="nil"/>
              <w:bottom w:val="single" w:sz="4" w:space="0" w:color="auto"/>
              <w:right w:val="single" w:sz="4" w:space="0" w:color="auto"/>
            </w:tcBorders>
            <w:shd w:val="clear" w:color="000000" w:fill="E7E6E6"/>
            <w:noWrap/>
            <w:vAlign w:val="bottom"/>
            <w:hideMark/>
          </w:tcPr>
          <w:p w14:paraId="308ED610"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120,224</w:t>
            </w:r>
          </w:p>
        </w:tc>
        <w:tc>
          <w:tcPr>
            <w:tcW w:w="980" w:type="dxa"/>
            <w:tcBorders>
              <w:top w:val="nil"/>
              <w:left w:val="nil"/>
              <w:bottom w:val="single" w:sz="4" w:space="0" w:color="auto"/>
              <w:right w:val="single" w:sz="4" w:space="0" w:color="auto"/>
            </w:tcBorders>
            <w:shd w:val="clear" w:color="000000" w:fill="E7E6E6"/>
            <w:noWrap/>
            <w:vAlign w:val="bottom"/>
            <w:hideMark/>
          </w:tcPr>
          <w:p w14:paraId="72B7009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46,620</w:t>
            </w:r>
          </w:p>
        </w:tc>
        <w:tc>
          <w:tcPr>
            <w:tcW w:w="1100" w:type="dxa"/>
            <w:tcBorders>
              <w:top w:val="nil"/>
              <w:left w:val="nil"/>
              <w:bottom w:val="single" w:sz="4" w:space="0" w:color="auto"/>
              <w:right w:val="single" w:sz="8" w:space="0" w:color="auto"/>
            </w:tcBorders>
            <w:shd w:val="clear" w:color="auto" w:fill="auto"/>
            <w:noWrap/>
            <w:vAlign w:val="bottom"/>
            <w:hideMark/>
          </w:tcPr>
          <w:p w14:paraId="719DDC4B"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365,256</w:t>
            </w:r>
          </w:p>
        </w:tc>
      </w:tr>
      <w:tr w:rsidR="00CA431A" w:rsidRPr="00CA431A" w14:paraId="5AD637A0"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6F32BFB6"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4.0 Productos sanitarios: Productos farmacéuticos</w:t>
            </w:r>
          </w:p>
        </w:tc>
        <w:tc>
          <w:tcPr>
            <w:tcW w:w="980" w:type="dxa"/>
            <w:tcBorders>
              <w:top w:val="nil"/>
              <w:left w:val="nil"/>
              <w:bottom w:val="single" w:sz="4" w:space="0" w:color="auto"/>
              <w:right w:val="single" w:sz="4" w:space="0" w:color="auto"/>
            </w:tcBorders>
            <w:shd w:val="clear" w:color="000000" w:fill="E7E6E6"/>
            <w:noWrap/>
            <w:vAlign w:val="bottom"/>
            <w:hideMark/>
          </w:tcPr>
          <w:p w14:paraId="08F1AE3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980" w:type="dxa"/>
            <w:tcBorders>
              <w:top w:val="nil"/>
              <w:left w:val="nil"/>
              <w:bottom w:val="single" w:sz="4" w:space="0" w:color="auto"/>
              <w:right w:val="single" w:sz="4" w:space="0" w:color="auto"/>
            </w:tcBorders>
            <w:shd w:val="clear" w:color="000000" w:fill="E7E6E6"/>
            <w:noWrap/>
            <w:vAlign w:val="bottom"/>
            <w:hideMark/>
          </w:tcPr>
          <w:p w14:paraId="3AB4580E"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980" w:type="dxa"/>
            <w:tcBorders>
              <w:top w:val="nil"/>
              <w:left w:val="nil"/>
              <w:bottom w:val="single" w:sz="4" w:space="0" w:color="auto"/>
              <w:right w:val="single" w:sz="4" w:space="0" w:color="auto"/>
            </w:tcBorders>
            <w:shd w:val="clear" w:color="000000" w:fill="E7E6E6"/>
            <w:noWrap/>
            <w:vAlign w:val="bottom"/>
            <w:hideMark/>
          </w:tcPr>
          <w:p w14:paraId="33A2EB27"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1100" w:type="dxa"/>
            <w:tcBorders>
              <w:top w:val="nil"/>
              <w:left w:val="nil"/>
              <w:bottom w:val="single" w:sz="4" w:space="0" w:color="auto"/>
              <w:right w:val="single" w:sz="8" w:space="0" w:color="auto"/>
            </w:tcBorders>
            <w:shd w:val="clear" w:color="auto" w:fill="auto"/>
            <w:noWrap/>
            <w:vAlign w:val="bottom"/>
            <w:hideMark/>
          </w:tcPr>
          <w:p w14:paraId="0C23F763"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r>
      <w:tr w:rsidR="00CA431A" w:rsidRPr="00CA431A" w14:paraId="747AADD6" w14:textId="77777777" w:rsidTr="00954BC0">
        <w:trPr>
          <w:trHeight w:val="50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6720EAD6" w14:textId="77777777" w:rsidR="00CA431A" w:rsidRPr="00CA431A" w:rsidRDefault="00CA431A" w:rsidP="00CA431A">
            <w:pPr>
              <w:rPr>
                <w:rFonts w:ascii="Arial" w:hAnsi="Arial" w:cs="Arial"/>
                <w:color w:val="000000"/>
                <w:sz w:val="20"/>
                <w:szCs w:val="20"/>
                <w:lang w:val="es-419" w:eastAsia="en-US"/>
              </w:rPr>
            </w:pPr>
            <w:r w:rsidRPr="00CA431A">
              <w:rPr>
                <w:rFonts w:ascii="Arial" w:hAnsi="Arial" w:cs="Arial"/>
                <w:color w:val="000000"/>
                <w:sz w:val="20"/>
                <w:szCs w:val="20"/>
                <w:lang w:val="es-419" w:eastAsia="en-US"/>
              </w:rPr>
              <w:t>5.0 Productos sanitarios: productos no farmacéuticos</w:t>
            </w:r>
          </w:p>
        </w:tc>
        <w:tc>
          <w:tcPr>
            <w:tcW w:w="980" w:type="dxa"/>
            <w:tcBorders>
              <w:top w:val="nil"/>
              <w:left w:val="nil"/>
              <w:bottom w:val="single" w:sz="4" w:space="0" w:color="auto"/>
              <w:right w:val="single" w:sz="4" w:space="0" w:color="auto"/>
            </w:tcBorders>
            <w:shd w:val="clear" w:color="000000" w:fill="E7E6E6"/>
            <w:noWrap/>
            <w:vAlign w:val="bottom"/>
            <w:hideMark/>
          </w:tcPr>
          <w:p w14:paraId="74DDFB4A"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5,712,841</w:t>
            </w:r>
          </w:p>
        </w:tc>
        <w:tc>
          <w:tcPr>
            <w:tcW w:w="980" w:type="dxa"/>
            <w:tcBorders>
              <w:top w:val="nil"/>
              <w:left w:val="nil"/>
              <w:bottom w:val="single" w:sz="4" w:space="0" w:color="auto"/>
              <w:right w:val="single" w:sz="4" w:space="0" w:color="auto"/>
            </w:tcBorders>
            <w:shd w:val="clear" w:color="000000" w:fill="E7E6E6"/>
            <w:noWrap/>
            <w:vAlign w:val="bottom"/>
            <w:hideMark/>
          </w:tcPr>
          <w:p w14:paraId="02FE4723"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772,380</w:t>
            </w:r>
          </w:p>
        </w:tc>
        <w:tc>
          <w:tcPr>
            <w:tcW w:w="980" w:type="dxa"/>
            <w:tcBorders>
              <w:top w:val="nil"/>
              <w:left w:val="nil"/>
              <w:bottom w:val="single" w:sz="4" w:space="0" w:color="auto"/>
              <w:right w:val="single" w:sz="4" w:space="0" w:color="auto"/>
            </w:tcBorders>
            <w:shd w:val="clear" w:color="000000" w:fill="E7E6E6"/>
            <w:noWrap/>
            <w:vAlign w:val="bottom"/>
            <w:hideMark/>
          </w:tcPr>
          <w:p w14:paraId="6FFBC9ED"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71,468</w:t>
            </w:r>
          </w:p>
        </w:tc>
        <w:tc>
          <w:tcPr>
            <w:tcW w:w="1100" w:type="dxa"/>
            <w:tcBorders>
              <w:top w:val="nil"/>
              <w:left w:val="nil"/>
              <w:bottom w:val="single" w:sz="4" w:space="0" w:color="auto"/>
              <w:right w:val="single" w:sz="8" w:space="0" w:color="auto"/>
            </w:tcBorders>
            <w:shd w:val="clear" w:color="auto" w:fill="auto"/>
            <w:noWrap/>
            <w:vAlign w:val="bottom"/>
            <w:hideMark/>
          </w:tcPr>
          <w:p w14:paraId="297E7C7E"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6,556,689</w:t>
            </w:r>
          </w:p>
        </w:tc>
      </w:tr>
      <w:tr w:rsidR="00CA431A" w:rsidRPr="00CA431A" w14:paraId="47F3700E"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216BD033"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6.0 Productos sanitarios: equipamiento</w:t>
            </w:r>
          </w:p>
        </w:tc>
        <w:tc>
          <w:tcPr>
            <w:tcW w:w="980" w:type="dxa"/>
            <w:tcBorders>
              <w:top w:val="nil"/>
              <w:left w:val="nil"/>
              <w:bottom w:val="single" w:sz="4" w:space="0" w:color="auto"/>
              <w:right w:val="single" w:sz="4" w:space="0" w:color="auto"/>
            </w:tcBorders>
            <w:shd w:val="clear" w:color="000000" w:fill="E7E6E6"/>
            <w:noWrap/>
            <w:vAlign w:val="bottom"/>
            <w:hideMark/>
          </w:tcPr>
          <w:p w14:paraId="401EE5E8"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20,517</w:t>
            </w:r>
          </w:p>
        </w:tc>
        <w:tc>
          <w:tcPr>
            <w:tcW w:w="980" w:type="dxa"/>
            <w:tcBorders>
              <w:top w:val="nil"/>
              <w:left w:val="nil"/>
              <w:bottom w:val="single" w:sz="4" w:space="0" w:color="auto"/>
              <w:right w:val="single" w:sz="4" w:space="0" w:color="auto"/>
            </w:tcBorders>
            <w:shd w:val="clear" w:color="000000" w:fill="E7E6E6"/>
            <w:noWrap/>
            <w:vAlign w:val="bottom"/>
            <w:hideMark/>
          </w:tcPr>
          <w:p w14:paraId="7C66C3A7"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3,272</w:t>
            </w:r>
          </w:p>
        </w:tc>
        <w:tc>
          <w:tcPr>
            <w:tcW w:w="980" w:type="dxa"/>
            <w:tcBorders>
              <w:top w:val="nil"/>
              <w:left w:val="nil"/>
              <w:bottom w:val="single" w:sz="4" w:space="0" w:color="auto"/>
              <w:right w:val="single" w:sz="4" w:space="0" w:color="auto"/>
            </w:tcBorders>
            <w:shd w:val="clear" w:color="000000" w:fill="E7E6E6"/>
            <w:noWrap/>
            <w:vAlign w:val="bottom"/>
            <w:hideMark/>
          </w:tcPr>
          <w:p w14:paraId="0D6CDDB9"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3,272</w:t>
            </w:r>
          </w:p>
        </w:tc>
        <w:tc>
          <w:tcPr>
            <w:tcW w:w="1100" w:type="dxa"/>
            <w:tcBorders>
              <w:top w:val="nil"/>
              <w:left w:val="nil"/>
              <w:bottom w:val="single" w:sz="4" w:space="0" w:color="auto"/>
              <w:right w:val="single" w:sz="8" w:space="0" w:color="auto"/>
            </w:tcBorders>
            <w:shd w:val="clear" w:color="auto" w:fill="auto"/>
            <w:noWrap/>
            <w:vAlign w:val="bottom"/>
            <w:hideMark/>
          </w:tcPr>
          <w:p w14:paraId="2482C605"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27,061</w:t>
            </w:r>
          </w:p>
        </w:tc>
      </w:tr>
      <w:tr w:rsidR="00CA431A" w:rsidRPr="00CA431A" w14:paraId="66D9C0E3" w14:textId="77777777" w:rsidTr="00954BC0">
        <w:trPr>
          <w:trHeight w:val="50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611E9270" w14:textId="77777777" w:rsidR="00CA431A" w:rsidRPr="00CA431A" w:rsidRDefault="00CA431A" w:rsidP="00CA431A">
            <w:pPr>
              <w:rPr>
                <w:rFonts w:ascii="Arial" w:hAnsi="Arial" w:cs="Arial"/>
                <w:color w:val="000000"/>
                <w:sz w:val="20"/>
                <w:szCs w:val="20"/>
                <w:lang w:val="es-419" w:eastAsia="en-US"/>
              </w:rPr>
            </w:pPr>
            <w:r w:rsidRPr="00CA431A">
              <w:rPr>
                <w:rFonts w:ascii="Arial" w:hAnsi="Arial" w:cs="Arial"/>
                <w:color w:val="000000"/>
                <w:sz w:val="20"/>
                <w:szCs w:val="20"/>
                <w:lang w:val="es-419" w:eastAsia="en-US"/>
              </w:rPr>
              <w:t>7.0 Costos relacionados con la Gestión de Adquisiciones y Suministros (GAS)</w:t>
            </w:r>
          </w:p>
        </w:tc>
        <w:tc>
          <w:tcPr>
            <w:tcW w:w="980" w:type="dxa"/>
            <w:tcBorders>
              <w:top w:val="nil"/>
              <w:left w:val="nil"/>
              <w:bottom w:val="single" w:sz="4" w:space="0" w:color="auto"/>
              <w:right w:val="single" w:sz="4" w:space="0" w:color="auto"/>
            </w:tcBorders>
            <w:shd w:val="clear" w:color="000000" w:fill="E7E6E6"/>
            <w:noWrap/>
            <w:vAlign w:val="bottom"/>
            <w:hideMark/>
          </w:tcPr>
          <w:p w14:paraId="6CE4CC38"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1,050,568</w:t>
            </w:r>
          </w:p>
        </w:tc>
        <w:tc>
          <w:tcPr>
            <w:tcW w:w="980" w:type="dxa"/>
            <w:tcBorders>
              <w:top w:val="nil"/>
              <w:left w:val="nil"/>
              <w:bottom w:val="single" w:sz="4" w:space="0" w:color="auto"/>
              <w:right w:val="single" w:sz="4" w:space="0" w:color="auto"/>
            </w:tcBorders>
            <w:shd w:val="clear" w:color="000000" w:fill="E7E6E6"/>
            <w:noWrap/>
            <w:vAlign w:val="bottom"/>
            <w:hideMark/>
          </w:tcPr>
          <w:p w14:paraId="207B7203"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50,098</w:t>
            </w:r>
          </w:p>
        </w:tc>
        <w:tc>
          <w:tcPr>
            <w:tcW w:w="980" w:type="dxa"/>
            <w:tcBorders>
              <w:top w:val="nil"/>
              <w:left w:val="nil"/>
              <w:bottom w:val="single" w:sz="4" w:space="0" w:color="auto"/>
              <w:right w:val="single" w:sz="4" w:space="0" w:color="auto"/>
            </w:tcBorders>
            <w:shd w:val="clear" w:color="000000" w:fill="E7E6E6"/>
            <w:noWrap/>
            <w:vAlign w:val="bottom"/>
            <w:hideMark/>
          </w:tcPr>
          <w:p w14:paraId="3AD1A5B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1100" w:type="dxa"/>
            <w:tcBorders>
              <w:top w:val="nil"/>
              <w:left w:val="nil"/>
              <w:bottom w:val="single" w:sz="4" w:space="0" w:color="auto"/>
              <w:right w:val="single" w:sz="8" w:space="0" w:color="auto"/>
            </w:tcBorders>
            <w:shd w:val="clear" w:color="auto" w:fill="auto"/>
            <w:noWrap/>
            <w:vAlign w:val="bottom"/>
            <w:hideMark/>
          </w:tcPr>
          <w:p w14:paraId="17CE77E1"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1,100,666</w:t>
            </w:r>
          </w:p>
        </w:tc>
      </w:tr>
      <w:tr w:rsidR="00CA431A" w:rsidRPr="00CA431A" w14:paraId="658F2AC0"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4AC9AF9D"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8.0 Infraestructuras</w:t>
            </w:r>
          </w:p>
        </w:tc>
        <w:tc>
          <w:tcPr>
            <w:tcW w:w="980" w:type="dxa"/>
            <w:tcBorders>
              <w:top w:val="nil"/>
              <w:left w:val="nil"/>
              <w:bottom w:val="single" w:sz="4" w:space="0" w:color="auto"/>
              <w:right w:val="single" w:sz="4" w:space="0" w:color="auto"/>
            </w:tcBorders>
            <w:shd w:val="clear" w:color="000000" w:fill="E7E6E6"/>
            <w:noWrap/>
            <w:vAlign w:val="bottom"/>
            <w:hideMark/>
          </w:tcPr>
          <w:p w14:paraId="3662EA2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980" w:type="dxa"/>
            <w:tcBorders>
              <w:top w:val="nil"/>
              <w:left w:val="nil"/>
              <w:bottom w:val="single" w:sz="4" w:space="0" w:color="auto"/>
              <w:right w:val="single" w:sz="4" w:space="0" w:color="auto"/>
            </w:tcBorders>
            <w:shd w:val="clear" w:color="000000" w:fill="E7E6E6"/>
            <w:noWrap/>
            <w:vAlign w:val="bottom"/>
            <w:hideMark/>
          </w:tcPr>
          <w:p w14:paraId="0BBCFADD"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980" w:type="dxa"/>
            <w:tcBorders>
              <w:top w:val="nil"/>
              <w:left w:val="nil"/>
              <w:bottom w:val="single" w:sz="4" w:space="0" w:color="auto"/>
              <w:right w:val="single" w:sz="4" w:space="0" w:color="auto"/>
            </w:tcBorders>
            <w:shd w:val="clear" w:color="000000" w:fill="E7E6E6"/>
            <w:noWrap/>
            <w:vAlign w:val="bottom"/>
            <w:hideMark/>
          </w:tcPr>
          <w:p w14:paraId="6BF0A1F6"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c>
          <w:tcPr>
            <w:tcW w:w="1100" w:type="dxa"/>
            <w:tcBorders>
              <w:top w:val="nil"/>
              <w:left w:val="nil"/>
              <w:bottom w:val="single" w:sz="4" w:space="0" w:color="auto"/>
              <w:right w:val="single" w:sz="8" w:space="0" w:color="auto"/>
            </w:tcBorders>
            <w:shd w:val="clear" w:color="auto" w:fill="auto"/>
            <w:noWrap/>
            <w:vAlign w:val="bottom"/>
            <w:hideMark/>
          </w:tcPr>
          <w:p w14:paraId="0982449F"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0</w:t>
            </w:r>
          </w:p>
        </w:tc>
      </w:tr>
      <w:tr w:rsidR="00CA431A" w:rsidRPr="00CA431A" w14:paraId="13CD3F3A"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40680149"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9.0 Equipamiento no sanitario</w:t>
            </w:r>
          </w:p>
        </w:tc>
        <w:tc>
          <w:tcPr>
            <w:tcW w:w="980" w:type="dxa"/>
            <w:tcBorders>
              <w:top w:val="nil"/>
              <w:left w:val="nil"/>
              <w:bottom w:val="single" w:sz="4" w:space="0" w:color="auto"/>
              <w:right w:val="single" w:sz="4" w:space="0" w:color="auto"/>
            </w:tcBorders>
            <w:shd w:val="clear" w:color="000000" w:fill="E7E6E6"/>
            <w:noWrap/>
            <w:vAlign w:val="bottom"/>
            <w:hideMark/>
          </w:tcPr>
          <w:p w14:paraId="710618D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256,428</w:t>
            </w:r>
          </w:p>
        </w:tc>
        <w:tc>
          <w:tcPr>
            <w:tcW w:w="980" w:type="dxa"/>
            <w:tcBorders>
              <w:top w:val="nil"/>
              <w:left w:val="nil"/>
              <w:bottom w:val="single" w:sz="4" w:space="0" w:color="auto"/>
              <w:right w:val="single" w:sz="4" w:space="0" w:color="auto"/>
            </w:tcBorders>
            <w:shd w:val="clear" w:color="000000" w:fill="E7E6E6"/>
            <w:noWrap/>
            <w:vAlign w:val="bottom"/>
            <w:hideMark/>
          </w:tcPr>
          <w:p w14:paraId="11F31F30"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282,200</w:t>
            </w:r>
          </w:p>
        </w:tc>
        <w:tc>
          <w:tcPr>
            <w:tcW w:w="980" w:type="dxa"/>
            <w:tcBorders>
              <w:top w:val="nil"/>
              <w:left w:val="nil"/>
              <w:bottom w:val="single" w:sz="4" w:space="0" w:color="auto"/>
              <w:right w:val="single" w:sz="4" w:space="0" w:color="auto"/>
            </w:tcBorders>
            <w:shd w:val="clear" w:color="000000" w:fill="E7E6E6"/>
            <w:noWrap/>
            <w:vAlign w:val="bottom"/>
            <w:hideMark/>
          </w:tcPr>
          <w:p w14:paraId="3700215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182,528</w:t>
            </w:r>
          </w:p>
        </w:tc>
        <w:tc>
          <w:tcPr>
            <w:tcW w:w="1100" w:type="dxa"/>
            <w:tcBorders>
              <w:top w:val="nil"/>
              <w:left w:val="nil"/>
              <w:bottom w:val="single" w:sz="4" w:space="0" w:color="auto"/>
              <w:right w:val="single" w:sz="8" w:space="0" w:color="auto"/>
            </w:tcBorders>
            <w:shd w:val="clear" w:color="auto" w:fill="auto"/>
            <w:noWrap/>
            <w:vAlign w:val="bottom"/>
            <w:hideMark/>
          </w:tcPr>
          <w:p w14:paraId="1B0B1910"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721,156</w:t>
            </w:r>
          </w:p>
        </w:tc>
      </w:tr>
      <w:tr w:rsidR="00CA431A" w:rsidRPr="00CA431A" w14:paraId="7D3C5060"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43FF4154" w14:textId="77777777" w:rsidR="00CA431A" w:rsidRPr="00CA431A" w:rsidRDefault="00CA431A" w:rsidP="00CA431A">
            <w:pPr>
              <w:rPr>
                <w:rFonts w:ascii="Arial" w:hAnsi="Arial" w:cs="Arial"/>
                <w:color w:val="000000"/>
                <w:sz w:val="20"/>
                <w:szCs w:val="20"/>
                <w:lang w:val="es-419" w:eastAsia="en-US"/>
              </w:rPr>
            </w:pPr>
            <w:r w:rsidRPr="00CA431A">
              <w:rPr>
                <w:rFonts w:ascii="Arial" w:hAnsi="Arial" w:cs="Arial"/>
                <w:color w:val="000000"/>
                <w:sz w:val="20"/>
                <w:szCs w:val="20"/>
                <w:lang w:val="es-419" w:eastAsia="en-US"/>
              </w:rPr>
              <w:t>10.0 Material de comunicación y publicaciones</w:t>
            </w:r>
          </w:p>
        </w:tc>
        <w:tc>
          <w:tcPr>
            <w:tcW w:w="980" w:type="dxa"/>
            <w:tcBorders>
              <w:top w:val="nil"/>
              <w:left w:val="nil"/>
              <w:bottom w:val="single" w:sz="4" w:space="0" w:color="auto"/>
              <w:right w:val="single" w:sz="4" w:space="0" w:color="auto"/>
            </w:tcBorders>
            <w:shd w:val="clear" w:color="000000" w:fill="E7E6E6"/>
            <w:noWrap/>
            <w:vAlign w:val="bottom"/>
            <w:hideMark/>
          </w:tcPr>
          <w:p w14:paraId="327A0244"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37,103</w:t>
            </w:r>
          </w:p>
        </w:tc>
        <w:tc>
          <w:tcPr>
            <w:tcW w:w="980" w:type="dxa"/>
            <w:tcBorders>
              <w:top w:val="nil"/>
              <w:left w:val="nil"/>
              <w:bottom w:val="single" w:sz="4" w:space="0" w:color="auto"/>
              <w:right w:val="single" w:sz="4" w:space="0" w:color="auto"/>
            </w:tcBorders>
            <w:shd w:val="clear" w:color="000000" w:fill="E7E6E6"/>
            <w:noWrap/>
            <w:vAlign w:val="bottom"/>
            <w:hideMark/>
          </w:tcPr>
          <w:p w14:paraId="0DB5C0E0"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29,680</w:t>
            </w:r>
          </w:p>
        </w:tc>
        <w:tc>
          <w:tcPr>
            <w:tcW w:w="980" w:type="dxa"/>
            <w:tcBorders>
              <w:top w:val="nil"/>
              <w:left w:val="nil"/>
              <w:bottom w:val="single" w:sz="4" w:space="0" w:color="auto"/>
              <w:right w:val="single" w:sz="4" w:space="0" w:color="auto"/>
            </w:tcBorders>
            <w:shd w:val="clear" w:color="000000" w:fill="E7E6E6"/>
            <w:noWrap/>
            <w:vAlign w:val="bottom"/>
            <w:hideMark/>
          </w:tcPr>
          <w:p w14:paraId="10B50082"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24,524</w:t>
            </w:r>
          </w:p>
        </w:tc>
        <w:tc>
          <w:tcPr>
            <w:tcW w:w="1100" w:type="dxa"/>
            <w:tcBorders>
              <w:top w:val="nil"/>
              <w:left w:val="nil"/>
              <w:bottom w:val="single" w:sz="4" w:space="0" w:color="auto"/>
              <w:right w:val="single" w:sz="8" w:space="0" w:color="auto"/>
            </w:tcBorders>
            <w:shd w:val="clear" w:color="auto" w:fill="auto"/>
            <w:noWrap/>
            <w:vAlign w:val="bottom"/>
            <w:hideMark/>
          </w:tcPr>
          <w:p w14:paraId="0AE1385F"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91,307</w:t>
            </w:r>
          </w:p>
        </w:tc>
      </w:tr>
      <w:tr w:rsidR="00CA431A" w:rsidRPr="00CA431A" w14:paraId="49FA5FFD" w14:textId="77777777" w:rsidTr="00954BC0">
        <w:trPr>
          <w:trHeight w:val="250"/>
          <w:jc w:val="center"/>
        </w:trPr>
        <w:tc>
          <w:tcPr>
            <w:tcW w:w="4740" w:type="dxa"/>
            <w:tcBorders>
              <w:top w:val="nil"/>
              <w:left w:val="single" w:sz="8" w:space="0" w:color="auto"/>
              <w:bottom w:val="single" w:sz="4" w:space="0" w:color="auto"/>
              <w:right w:val="single" w:sz="4" w:space="0" w:color="auto"/>
            </w:tcBorders>
            <w:shd w:val="clear" w:color="auto" w:fill="auto"/>
            <w:vAlign w:val="center"/>
            <w:hideMark/>
          </w:tcPr>
          <w:p w14:paraId="0DE4781A" w14:textId="77777777" w:rsidR="00CA431A" w:rsidRPr="00CA431A" w:rsidRDefault="00CA431A" w:rsidP="00CA431A">
            <w:pPr>
              <w:rPr>
                <w:rFonts w:ascii="Arial" w:hAnsi="Arial" w:cs="Arial"/>
                <w:color w:val="000000"/>
                <w:sz w:val="20"/>
                <w:szCs w:val="20"/>
                <w:lang w:val="en-US" w:eastAsia="en-US"/>
              </w:rPr>
            </w:pPr>
            <w:r w:rsidRPr="00CA431A">
              <w:rPr>
                <w:rFonts w:ascii="Arial" w:hAnsi="Arial" w:cs="Arial"/>
                <w:color w:val="000000"/>
                <w:sz w:val="20"/>
                <w:szCs w:val="20"/>
                <w:lang w:val="en-US" w:eastAsia="en-US"/>
              </w:rPr>
              <w:t>11.0 Costos indirectos y Generales</w:t>
            </w:r>
          </w:p>
        </w:tc>
        <w:tc>
          <w:tcPr>
            <w:tcW w:w="980" w:type="dxa"/>
            <w:tcBorders>
              <w:top w:val="nil"/>
              <w:left w:val="nil"/>
              <w:bottom w:val="single" w:sz="4" w:space="0" w:color="auto"/>
              <w:right w:val="single" w:sz="4" w:space="0" w:color="auto"/>
            </w:tcBorders>
            <w:shd w:val="clear" w:color="000000" w:fill="E7E6E6"/>
            <w:noWrap/>
            <w:vAlign w:val="bottom"/>
            <w:hideMark/>
          </w:tcPr>
          <w:p w14:paraId="10E02F6D"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105,671</w:t>
            </w:r>
          </w:p>
        </w:tc>
        <w:tc>
          <w:tcPr>
            <w:tcW w:w="980" w:type="dxa"/>
            <w:tcBorders>
              <w:top w:val="nil"/>
              <w:left w:val="nil"/>
              <w:bottom w:val="single" w:sz="4" w:space="0" w:color="auto"/>
              <w:right w:val="single" w:sz="4" w:space="0" w:color="auto"/>
            </w:tcBorders>
            <w:shd w:val="clear" w:color="000000" w:fill="E7E6E6"/>
            <w:noWrap/>
            <w:vAlign w:val="bottom"/>
            <w:hideMark/>
          </w:tcPr>
          <w:p w14:paraId="038821FF"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81,655</w:t>
            </w:r>
          </w:p>
        </w:tc>
        <w:tc>
          <w:tcPr>
            <w:tcW w:w="980" w:type="dxa"/>
            <w:tcBorders>
              <w:top w:val="nil"/>
              <w:left w:val="nil"/>
              <w:bottom w:val="single" w:sz="4" w:space="0" w:color="auto"/>
              <w:right w:val="single" w:sz="4" w:space="0" w:color="auto"/>
            </w:tcBorders>
            <w:shd w:val="clear" w:color="000000" w:fill="E7E6E6"/>
            <w:noWrap/>
            <w:vAlign w:val="bottom"/>
            <w:hideMark/>
          </w:tcPr>
          <w:p w14:paraId="188CEC5C"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78,011</w:t>
            </w:r>
          </w:p>
        </w:tc>
        <w:tc>
          <w:tcPr>
            <w:tcW w:w="1100" w:type="dxa"/>
            <w:tcBorders>
              <w:top w:val="nil"/>
              <w:left w:val="nil"/>
              <w:bottom w:val="single" w:sz="4" w:space="0" w:color="auto"/>
              <w:right w:val="single" w:sz="8" w:space="0" w:color="auto"/>
            </w:tcBorders>
            <w:shd w:val="clear" w:color="auto" w:fill="auto"/>
            <w:noWrap/>
            <w:vAlign w:val="bottom"/>
            <w:hideMark/>
          </w:tcPr>
          <w:p w14:paraId="71544C27" w14:textId="77777777" w:rsidR="00CA431A" w:rsidRPr="00CA431A" w:rsidRDefault="00CA431A" w:rsidP="00CA431A">
            <w:pPr>
              <w:jc w:val="right"/>
              <w:rPr>
                <w:rFonts w:ascii="Arial" w:hAnsi="Arial" w:cs="Arial"/>
                <w:color w:val="000000"/>
                <w:sz w:val="20"/>
                <w:szCs w:val="20"/>
                <w:lang w:val="en-US" w:eastAsia="en-US"/>
              </w:rPr>
            </w:pPr>
            <w:r w:rsidRPr="00CA431A">
              <w:rPr>
                <w:rFonts w:ascii="Arial" w:hAnsi="Arial" w:cs="Arial"/>
                <w:color w:val="000000"/>
                <w:sz w:val="20"/>
                <w:szCs w:val="20"/>
                <w:lang w:val="en-US" w:eastAsia="en-US"/>
              </w:rPr>
              <w:t>265,336</w:t>
            </w:r>
          </w:p>
        </w:tc>
      </w:tr>
      <w:tr w:rsidR="00CA431A" w:rsidRPr="00CA431A" w14:paraId="0F8AAE6C" w14:textId="77777777" w:rsidTr="00954BC0">
        <w:trPr>
          <w:trHeight w:val="260"/>
          <w:jc w:val="center"/>
        </w:trPr>
        <w:tc>
          <w:tcPr>
            <w:tcW w:w="4740" w:type="dxa"/>
            <w:tcBorders>
              <w:top w:val="nil"/>
              <w:left w:val="single" w:sz="4" w:space="0" w:color="auto"/>
              <w:bottom w:val="single" w:sz="4" w:space="0" w:color="auto"/>
              <w:right w:val="single" w:sz="4" w:space="0" w:color="auto"/>
            </w:tcBorders>
            <w:shd w:val="clear" w:color="000000" w:fill="D9E1F2"/>
            <w:noWrap/>
            <w:vAlign w:val="bottom"/>
            <w:hideMark/>
          </w:tcPr>
          <w:p w14:paraId="25415570" w14:textId="77777777" w:rsidR="00CA431A" w:rsidRPr="00CA431A" w:rsidRDefault="00CA431A" w:rsidP="00CA431A">
            <w:pPr>
              <w:jc w:val="right"/>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Totales</w:t>
            </w:r>
          </w:p>
        </w:tc>
        <w:tc>
          <w:tcPr>
            <w:tcW w:w="980" w:type="dxa"/>
            <w:tcBorders>
              <w:top w:val="nil"/>
              <w:left w:val="nil"/>
              <w:bottom w:val="single" w:sz="4" w:space="0" w:color="auto"/>
              <w:right w:val="single" w:sz="4" w:space="0" w:color="auto"/>
            </w:tcBorders>
            <w:shd w:val="clear" w:color="000000" w:fill="D9E1F2"/>
            <w:noWrap/>
            <w:vAlign w:val="bottom"/>
            <w:hideMark/>
          </w:tcPr>
          <w:p w14:paraId="56776C13" w14:textId="77777777" w:rsidR="00CA431A" w:rsidRPr="00CA431A" w:rsidRDefault="00CA431A" w:rsidP="00CA431A">
            <w:pPr>
              <w:jc w:val="right"/>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8,505,990</w:t>
            </w:r>
          </w:p>
        </w:tc>
        <w:tc>
          <w:tcPr>
            <w:tcW w:w="980" w:type="dxa"/>
            <w:tcBorders>
              <w:top w:val="nil"/>
              <w:left w:val="nil"/>
              <w:bottom w:val="single" w:sz="4" w:space="0" w:color="auto"/>
              <w:right w:val="single" w:sz="4" w:space="0" w:color="auto"/>
            </w:tcBorders>
            <w:shd w:val="clear" w:color="000000" w:fill="D9E1F2"/>
            <w:noWrap/>
            <w:vAlign w:val="bottom"/>
            <w:hideMark/>
          </w:tcPr>
          <w:p w14:paraId="3E79EC32" w14:textId="77777777" w:rsidR="00CA431A" w:rsidRPr="00CA431A" w:rsidRDefault="00CA431A" w:rsidP="00CA431A">
            <w:pPr>
              <w:jc w:val="right"/>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2,331,230</w:t>
            </w:r>
          </w:p>
        </w:tc>
        <w:tc>
          <w:tcPr>
            <w:tcW w:w="980" w:type="dxa"/>
            <w:tcBorders>
              <w:top w:val="nil"/>
              <w:left w:val="nil"/>
              <w:bottom w:val="single" w:sz="4" w:space="0" w:color="auto"/>
              <w:right w:val="single" w:sz="4" w:space="0" w:color="auto"/>
            </w:tcBorders>
            <w:shd w:val="clear" w:color="000000" w:fill="D9E1F2"/>
            <w:noWrap/>
            <w:vAlign w:val="bottom"/>
            <w:hideMark/>
          </w:tcPr>
          <w:p w14:paraId="66670517" w14:textId="77777777" w:rsidR="00CA431A" w:rsidRPr="00CA431A" w:rsidRDefault="00CA431A" w:rsidP="00CA431A">
            <w:pPr>
              <w:jc w:val="right"/>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1,081,270</w:t>
            </w:r>
          </w:p>
        </w:tc>
        <w:tc>
          <w:tcPr>
            <w:tcW w:w="1100" w:type="dxa"/>
            <w:tcBorders>
              <w:top w:val="nil"/>
              <w:left w:val="nil"/>
              <w:bottom w:val="single" w:sz="4" w:space="0" w:color="auto"/>
              <w:right w:val="single" w:sz="4" w:space="0" w:color="auto"/>
            </w:tcBorders>
            <w:shd w:val="clear" w:color="auto" w:fill="auto"/>
            <w:noWrap/>
            <w:vAlign w:val="bottom"/>
            <w:hideMark/>
          </w:tcPr>
          <w:p w14:paraId="193B35C6" w14:textId="77777777" w:rsidR="00CA431A" w:rsidRPr="00CA431A" w:rsidRDefault="00CA431A" w:rsidP="00CA431A">
            <w:pPr>
              <w:jc w:val="right"/>
              <w:rPr>
                <w:rFonts w:ascii="Arial" w:hAnsi="Arial" w:cs="Arial"/>
                <w:b/>
                <w:bCs/>
                <w:color w:val="000000"/>
                <w:sz w:val="20"/>
                <w:szCs w:val="20"/>
                <w:lang w:val="en-US" w:eastAsia="en-US"/>
              </w:rPr>
            </w:pPr>
            <w:r w:rsidRPr="00CA431A">
              <w:rPr>
                <w:rFonts w:ascii="Arial" w:hAnsi="Arial" w:cs="Arial"/>
                <w:b/>
                <w:bCs/>
                <w:color w:val="000000"/>
                <w:sz w:val="20"/>
                <w:szCs w:val="20"/>
                <w:lang w:val="en-US" w:eastAsia="en-US"/>
              </w:rPr>
              <w:t>11,918,490</w:t>
            </w:r>
          </w:p>
        </w:tc>
      </w:tr>
    </w:tbl>
    <w:p w14:paraId="56520F45" w14:textId="77777777" w:rsidR="00E339AC" w:rsidRPr="00D16DDF" w:rsidRDefault="00E339AC" w:rsidP="00B1346D">
      <w:pPr>
        <w:widowControl w:val="0"/>
        <w:jc w:val="both"/>
        <w:rPr>
          <w:snapToGrid w:val="0"/>
          <w:szCs w:val="22"/>
          <w:lang w:val="es-ES_tradnl" w:eastAsia="es-ES"/>
        </w:rPr>
      </w:pPr>
    </w:p>
    <w:p w14:paraId="2520A016" w14:textId="77777777" w:rsidR="00A37217" w:rsidRPr="00D16DDF" w:rsidRDefault="00A37217" w:rsidP="00A37217">
      <w:pPr>
        <w:widowControl w:val="0"/>
        <w:rPr>
          <w:szCs w:val="22"/>
          <w:lang w:val="es-ES" w:eastAsia="en-GB"/>
        </w:rPr>
      </w:pPr>
    </w:p>
    <w:p w14:paraId="6FAA338C" w14:textId="58B1898F" w:rsidR="00BA65C6" w:rsidRDefault="00C85EA4" w:rsidP="00833EE0">
      <w:pPr>
        <w:widowControl w:val="0"/>
        <w:tabs>
          <w:tab w:val="center" w:pos="4680"/>
        </w:tabs>
        <w:jc w:val="both"/>
        <w:rPr>
          <w:rFonts w:ascii="Arial" w:hAnsi="Arial" w:cs="Arial"/>
          <w:sz w:val="24"/>
          <w:lang w:val="es-ES"/>
        </w:rPr>
      </w:pPr>
      <w:r w:rsidRPr="0073431D">
        <w:rPr>
          <w:snapToGrid w:val="0"/>
          <w:sz w:val="24"/>
          <w:szCs w:val="22"/>
          <w:lang w:val="es-ES" w:eastAsia="en-US"/>
        </w:rPr>
        <w:t xml:space="preserve">El </w:t>
      </w:r>
      <w:r w:rsidR="00B45459" w:rsidRPr="0073431D">
        <w:rPr>
          <w:snapToGrid w:val="0"/>
          <w:sz w:val="24"/>
          <w:szCs w:val="22"/>
          <w:lang w:val="es-ES" w:eastAsia="en-US"/>
        </w:rPr>
        <w:t xml:space="preserve">auditor deberá </w:t>
      </w:r>
      <w:r w:rsidR="00ED793A" w:rsidRPr="0073431D">
        <w:rPr>
          <w:snapToGrid w:val="0"/>
          <w:sz w:val="24"/>
          <w:szCs w:val="22"/>
          <w:lang w:val="es-ES" w:eastAsia="en-US"/>
        </w:rPr>
        <w:t>revisar,</w:t>
      </w:r>
      <w:r w:rsidR="00B45459" w:rsidRPr="0073431D">
        <w:rPr>
          <w:snapToGrid w:val="0"/>
          <w:sz w:val="24"/>
          <w:szCs w:val="22"/>
          <w:lang w:val="es-ES" w:eastAsia="en-US"/>
        </w:rPr>
        <w:t xml:space="preserve"> además, c</w:t>
      </w:r>
      <w:r w:rsidRPr="0073431D">
        <w:rPr>
          <w:snapToGrid w:val="0"/>
          <w:sz w:val="24"/>
          <w:szCs w:val="22"/>
          <w:lang w:val="es-ES" w:eastAsia="en-US"/>
        </w:rPr>
        <w:t>ontratos con terceras partes, para la ejecución de actividades programadas y presupuestadas</w:t>
      </w:r>
      <w:r w:rsidR="003E3BF3" w:rsidRPr="0073431D">
        <w:rPr>
          <w:snapToGrid w:val="0"/>
          <w:sz w:val="24"/>
          <w:szCs w:val="22"/>
          <w:lang w:val="es-ES" w:eastAsia="en-US"/>
        </w:rPr>
        <w:t xml:space="preserve"> </w:t>
      </w:r>
      <w:r w:rsidRPr="0073431D">
        <w:rPr>
          <w:snapToGrid w:val="0"/>
          <w:sz w:val="24"/>
          <w:szCs w:val="22"/>
          <w:lang w:val="es-ES" w:eastAsia="en-US"/>
        </w:rPr>
        <w:t xml:space="preserve">del Proyecto </w:t>
      </w:r>
      <w:r w:rsidR="00BC7DF5" w:rsidRPr="00BC7DF5">
        <w:rPr>
          <w:b/>
          <w:bCs/>
          <w:sz w:val="24"/>
          <w:szCs w:val="20"/>
          <w:lang w:val="es-ES" w:eastAsia="en-GB"/>
        </w:rPr>
        <w:t>“</w:t>
      </w:r>
      <w:r w:rsidR="0057539E" w:rsidRPr="0057539E">
        <w:rPr>
          <w:rFonts w:ascii="Arial" w:hAnsi="Arial" w:cs="Arial"/>
          <w:b/>
          <w:bCs/>
          <w:i/>
          <w:sz w:val="24"/>
          <w:lang w:val="es-ES"/>
        </w:rPr>
        <w:t>Nicaragua, sosteniendo los logros y consolidando acciones enfocadas a la pre-eliminación de la malaria</w:t>
      </w:r>
      <w:r w:rsidR="0057539E" w:rsidRPr="0057539E">
        <w:rPr>
          <w:rFonts w:ascii="Arial" w:hAnsi="Arial" w:cs="Arial"/>
          <w:b/>
          <w:bCs/>
          <w:sz w:val="24"/>
          <w:lang w:val="es-ES"/>
        </w:rPr>
        <w:t>” –NC 2022-2024</w:t>
      </w:r>
      <w:r w:rsidR="00492FDC">
        <w:rPr>
          <w:rFonts w:ascii="Arial" w:hAnsi="Arial" w:cs="Arial"/>
          <w:sz w:val="24"/>
          <w:lang w:val="es-ES"/>
        </w:rPr>
        <w:t>.</w:t>
      </w:r>
    </w:p>
    <w:p w14:paraId="6F886D9B" w14:textId="77777777" w:rsidR="0057539E" w:rsidRPr="00762014" w:rsidRDefault="0057539E" w:rsidP="00833EE0">
      <w:pPr>
        <w:widowControl w:val="0"/>
        <w:tabs>
          <w:tab w:val="center" w:pos="4680"/>
        </w:tabs>
        <w:jc w:val="both"/>
        <w:rPr>
          <w:snapToGrid w:val="0"/>
          <w:sz w:val="24"/>
          <w:szCs w:val="22"/>
          <w:lang w:val="es-ES" w:eastAsia="en-US"/>
        </w:rPr>
      </w:pPr>
    </w:p>
    <w:p w14:paraId="5FE1B4F0" w14:textId="77777777" w:rsidR="00C85EA4" w:rsidRPr="00762014" w:rsidRDefault="00C85EA4" w:rsidP="000E2041">
      <w:pPr>
        <w:widowControl w:val="0"/>
        <w:numPr>
          <w:ilvl w:val="2"/>
          <w:numId w:val="2"/>
        </w:numPr>
        <w:tabs>
          <w:tab w:val="left" w:pos="1134"/>
        </w:tabs>
        <w:ind w:left="1134" w:hanging="425"/>
        <w:jc w:val="both"/>
        <w:rPr>
          <w:snapToGrid w:val="0"/>
          <w:sz w:val="24"/>
          <w:szCs w:val="22"/>
          <w:lang w:val="es-ES" w:eastAsia="en-US"/>
        </w:rPr>
      </w:pPr>
      <w:r w:rsidRPr="00762014">
        <w:rPr>
          <w:snapToGrid w:val="0"/>
          <w:sz w:val="24"/>
          <w:szCs w:val="22"/>
          <w:lang w:val="es-ES" w:eastAsia="en-US"/>
        </w:rPr>
        <w:t xml:space="preserve">Presupuesto </w:t>
      </w:r>
      <w:r w:rsidR="00D261D1" w:rsidRPr="00762014">
        <w:rPr>
          <w:snapToGrid w:val="0"/>
          <w:sz w:val="24"/>
          <w:szCs w:val="22"/>
          <w:lang w:val="es-ES" w:eastAsia="en-US"/>
        </w:rPr>
        <w:t>a</w:t>
      </w:r>
      <w:r w:rsidRPr="00762014">
        <w:rPr>
          <w:snapToGrid w:val="0"/>
          <w:sz w:val="24"/>
          <w:szCs w:val="22"/>
          <w:lang w:val="es-ES" w:eastAsia="en-US"/>
        </w:rPr>
        <w:t>cordado para este periodo con su correspondiente informe de ejecución presupuestaria.</w:t>
      </w:r>
    </w:p>
    <w:p w14:paraId="70E74F19" w14:textId="77777777" w:rsidR="00C85EA4" w:rsidRPr="00762014" w:rsidRDefault="00C85EA4" w:rsidP="000E2041">
      <w:pPr>
        <w:widowControl w:val="0"/>
        <w:numPr>
          <w:ilvl w:val="2"/>
          <w:numId w:val="2"/>
        </w:numPr>
        <w:tabs>
          <w:tab w:val="left" w:pos="1134"/>
        </w:tabs>
        <w:ind w:left="1134" w:hanging="425"/>
        <w:jc w:val="both"/>
        <w:rPr>
          <w:snapToGrid w:val="0"/>
          <w:sz w:val="24"/>
          <w:szCs w:val="22"/>
          <w:lang w:val="es-ES" w:eastAsia="en-US"/>
        </w:rPr>
      </w:pPr>
      <w:r w:rsidRPr="00762014">
        <w:rPr>
          <w:snapToGrid w:val="0"/>
          <w:sz w:val="24"/>
          <w:szCs w:val="22"/>
          <w:lang w:val="es-ES" w:eastAsia="en-US"/>
        </w:rPr>
        <w:t xml:space="preserve">Regulaciones </w:t>
      </w:r>
      <w:r w:rsidR="003C6583" w:rsidRPr="00762014">
        <w:rPr>
          <w:snapToGrid w:val="0"/>
          <w:sz w:val="24"/>
          <w:szCs w:val="22"/>
          <w:lang w:val="es-ES" w:eastAsia="en-US"/>
        </w:rPr>
        <w:t>n</w:t>
      </w:r>
      <w:r w:rsidRPr="00762014">
        <w:rPr>
          <w:snapToGrid w:val="0"/>
          <w:sz w:val="24"/>
          <w:szCs w:val="22"/>
          <w:lang w:val="es-ES" w:eastAsia="en-US"/>
        </w:rPr>
        <w:t xml:space="preserve">acionales, tales como: </w:t>
      </w:r>
      <w:r w:rsidR="00FC77AB" w:rsidRPr="00762014">
        <w:rPr>
          <w:snapToGrid w:val="0"/>
          <w:sz w:val="24"/>
          <w:szCs w:val="22"/>
          <w:lang w:val="es-ES" w:eastAsia="en-US"/>
        </w:rPr>
        <w:t xml:space="preserve">Ley de Concertación </w:t>
      </w:r>
      <w:r w:rsidR="00C46DD3" w:rsidRPr="00762014">
        <w:rPr>
          <w:snapToGrid w:val="0"/>
          <w:sz w:val="24"/>
          <w:szCs w:val="22"/>
          <w:lang w:val="es-ES" w:eastAsia="en-US"/>
        </w:rPr>
        <w:t>Tributaria</w:t>
      </w:r>
      <w:r w:rsidRPr="00762014">
        <w:rPr>
          <w:snapToGrid w:val="0"/>
          <w:sz w:val="24"/>
          <w:szCs w:val="22"/>
          <w:lang w:val="es-ES" w:eastAsia="en-US"/>
        </w:rPr>
        <w:t>, Ley de Seguridad Social y Código del Trabajo.</w:t>
      </w:r>
    </w:p>
    <w:p w14:paraId="74D27235" w14:textId="77777777" w:rsidR="002F0FF9" w:rsidRDefault="00C85EA4" w:rsidP="000E2041">
      <w:pPr>
        <w:widowControl w:val="0"/>
        <w:numPr>
          <w:ilvl w:val="2"/>
          <w:numId w:val="2"/>
        </w:numPr>
        <w:tabs>
          <w:tab w:val="left" w:pos="1134"/>
        </w:tabs>
        <w:ind w:left="1134" w:hanging="425"/>
        <w:jc w:val="both"/>
        <w:rPr>
          <w:rFonts w:cs="Arial"/>
          <w:snapToGrid w:val="0"/>
          <w:sz w:val="24"/>
          <w:szCs w:val="22"/>
          <w:lang w:val="es-ES" w:eastAsia="en-US"/>
        </w:rPr>
      </w:pPr>
      <w:r w:rsidRPr="00762014">
        <w:rPr>
          <w:snapToGrid w:val="0"/>
          <w:sz w:val="24"/>
          <w:szCs w:val="22"/>
          <w:lang w:val="es-ES" w:eastAsia="en-US"/>
        </w:rPr>
        <w:t>Manuales de la Federación Red NicaSalud donde se estipulen políticas y procedimientos relacionados con Adquisiciones, Inventarios, Activos Fijos, Presupuesto, Contabilidad y Monitoreo y Supervisión Financiera</w:t>
      </w:r>
      <w:r w:rsidR="00D261D1" w:rsidRPr="00762014">
        <w:rPr>
          <w:snapToGrid w:val="0"/>
          <w:sz w:val="24"/>
          <w:szCs w:val="22"/>
          <w:lang w:val="es-ES" w:eastAsia="en-US"/>
        </w:rPr>
        <w:t xml:space="preserve"> y Guía Técnica Operativa para las adquisiciones de</w:t>
      </w:r>
      <w:r w:rsidR="003C6583" w:rsidRPr="00762014">
        <w:rPr>
          <w:snapToGrid w:val="0"/>
          <w:sz w:val="24"/>
          <w:szCs w:val="22"/>
          <w:lang w:val="es-ES" w:eastAsia="en-US"/>
        </w:rPr>
        <w:t xml:space="preserve"> </w:t>
      </w:r>
      <w:r w:rsidR="00D261D1" w:rsidRPr="00762014">
        <w:rPr>
          <w:snapToGrid w:val="0"/>
          <w:sz w:val="24"/>
          <w:szCs w:val="22"/>
          <w:lang w:val="es-ES" w:eastAsia="en-US"/>
        </w:rPr>
        <w:t>l</w:t>
      </w:r>
      <w:r w:rsidR="003C6583" w:rsidRPr="00762014">
        <w:rPr>
          <w:snapToGrid w:val="0"/>
          <w:sz w:val="24"/>
          <w:szCs w:val="22"/>
          <w:lang w:val="es-ES" w:eastAsia="en-US"/>
        </w:rPr>
        <w:t>os</w:t>
      </w:r>
      <w:r w:rsidR="00D261D1" w:rsidRPr="00762014">
        <w:rPr>
          <w:snapToGrid w:val="0"/>
          <w:sz w:val="24"/>
          <w:szCs w:val="22"/>
          <w:lang w:val="es-ES" w:eastAsia="en-US"/>
        </w:rPr>
        <w:t xml:space="preserve"> proyecto</w:t>
      </w:r>
      <w:r w:rsidR="003C6583" w:rsidRPr="00762014">
        <w:rPr>
          <w:snapToGrid w:val="0"/>
          <w:sz w:val="24"/>
          <w:szCs w:val="22"/>
          <w:lang w:val="es-ES" w:eastAsia="en-US"/>
        </w:rPr>
        <w:t>s</w:t>
      </w:r>
      <w:r w:rsidR="00D261D1" w:rsidRPr="00762014">
        <w:rPr>
          <w:snapToGrid w:val="0"/>
          <w:sz w:val="24"/>
          <w:szCs w:val="22"/>
          <w:lang w:val="es-ES" w:eastAsia="en-US"/>
        </w:rPr>
        <w:t xml:space="preserve"> </w:t>
      </w:r>
      <w:r w:rsidR="003C6583" w:rsidRPr="00762014">
        <w:rPr>
          <w:snapToGrid w:val="0"/>
          <w:sz w:val="24"/>
          <w:szCs w:val="22"/>
          <w:lang w:val="es-ES" w:eastAsia="en-US"/>
        </w:rPr>
        <w:t>financiados por Fondo Mundial,</w:t>
      </w:r>
      <w:r w:rsidR="00D261D1" w:rsidRPr="00762014">
        <w:rPr>
          <w:snapToGrid w:val="0"/>
          <w:sz w:val="24"/>
          <w:szCs w:val="22"/>
          <w:lang w:val="es-ES" w:eastAsia="en-US"/>
        </w:rPr>
        <w:t xml:space="preserve"> fue aprobada por el donante</w:t>
      </w:r>
      <w:r w:rsidRPr="00762014">
        <w:rPr>
          <w:rFonts w:cs="Arial"/>
          <w:snapToGrid w:val="0"/>
          <w:sz w:val="24"/>
          <w:szCs w:val="22"/>
          <w:lang w:val="es-ES" w:eastAsia="en-US"/>
        </w:rPr>
        <w:t>.</w:t>
      </w:r>
    </w:p>
    <w:p w14:paraId="5FFD2E39" w14:textId="77777777" w:rsidR="00C17398" w:rsidRPr="00915460" w:rsidRDefault="006D4739" w:rsidP="00915460">
      <w:pPr>
        <w:pStyle w:val="Heading1"/>
        <w:numPr>
          <w:ilvl w:val="0"/>
          <w:numId w:val="39"/>
        </w:numPr>
        <w:rPr>
          <w:snapToGrid w:val="0"/>
          <w:color w:val="auto"/>
          <w:lang w:val="es-ES_tradnl" w:eastAsia="es-ES"/>
        </w:rPr>
      </w:pPr>
      <w:bookmarkStart w:id="6" w:name="_Toc109287557"/>
      <w:r w:rsidRPr="00915460">
        <w:rPr>
          <w:snapToGrid w:val="0"/>
          <w:color w:val="auto"/>
          <w:lang w:val="es-ES_tradnl" w:eastAsia="es-ES"/>
        </w:rPr>
        <w:t>Contactos</w:t>
      </w:r>
      <w:bookmarkEnd w:id="6"/>
      <w:r w:rsidRPr="00915460">
        <w:rPr>
          <w:snapToGrid w:val="0"/>
          <w:color w:val="auto"/>
          <w:lang w:val="es-ES_tradnl" w:eastAsia="es-ES"/>
        </w:rPr>
        <w:t xml:space="preserve"> </w:t>
      </w:r>
    </w:p>
    <w:p w14:paraId="0EE31AB3" w14:textId="77777777" w:rsidR="00915460" w:rsidRDefault="00915460" w:rsidP="00291082">
      <w:pPr>
        <w:spacing w:after="120"/>
        <w:ind w:right="119"/>
        <w:jc w:val="both"/>
        <w:rPr>
          <w:snapToGrid w:val="0"/>
          <w:sz w:val="24"/>
          <w:szCs w:val="22"/>
          <w:lang w:val="es-ES_tradnl" w:eastAsia="es-ES"/>
        </w:rPr>
      </w:pPr>
    </w:p>
    <w:p w14:paraId="3983FE46" w14:textId="77777777" w:rsidR="00E15F3E" w:rsidRPr="00762014" w:rsidRDefault="00E15F3E" w:rsidP="00291082">
      <w:pPr>
        <w:spacing w:after="120"/>
        <w:ind w:right="119"/>
        <w:jc w:val="both"/>
        <w:rPr>
          <w:sz w:val="24"/>
          <w:szCs w:val="22"/>
          <w:lang w:val="es-ES_tradnl" w:eastAsia="en-GB"/>
        </w:rPr>
      </w:pPr>
      <w:r w:rsidRPr="00762014">
        <w:rPr>
          <w:snapToGrid w:val="0"/>
          <w:sz w:val="24"/>
          <w:szCs w:val="22"/>
          <w:lang w:val="es-ES_tradnl" w:eastAsia="es-ES"/>
        </w:rPr>
        <w:t xml:space="preserve">A </w:t>
      </w:r>
      <w:r w:rsidR="00F11C7B" w:rsidRPr="00762014">
        <w:rPr>
          <w:snapToGrid w:val="0"/>
          <w:sz w:val="24"/>
          <w:szCs w:val="22"/>
          <w:lang w:val="es-ES_tradnl" w:eastAsia="es-ES"/>
        </w:rPr>
        <w:t>continuación,</w:t>
      </w:r>
      <w:r w:rsidRPr="00762014">
        <w:rPr>
          <w:snapToGrid w:val="0"/>
          <w:sz w:val="24"/>
          <w:szCs w:val="22"/>
          <w:lang w:val="es-ES_tradnl" w:eastAsia="es-ES"/>
        </w:rPr>
        <w:t xml:space="preserve"> se presenta</w:t>
      </w:r>
      <w:r w:rsidR="00C17398" w:rsidRPr="00762014">
        <w:rPr>
          <w:snapToGrid w:val="0"/>
          <w:sz w:val="24"/>
          <w:szCs w:val="22"/>
          <w:lang w:val="es-ES_tradnl" w:eastAsia="es-ES"/>
        </w:rPr>
        <w:t>n</w:t>
      </w:r>
      <w:r w:rsidRPr="00762014">
        <w:rPr>
          <w:snapToGrid w:val="0"/>
          <w:sz w:val="24"/>
          <w:szCs w:val="22"/>
          <w:lang w:val="es-ES_tradnl" w:eastAsia="es-ES"/>
        </w:rPr>
        <w:t xml:space="preserve"> </w:t>
      </w:r>
      <w:r w:rsidR="00AC06B6" w:rsidRPr="00762014">
        <w:rPr>
          <w:snapToGrid w:val="0"/>
          <w:sz w:val="24"/>
          <w:szCs w:val="22"/>
          <w:lang w:val="es-ES_tradnl" w:eastAsia="es-ES"/>
        </w:rPr>
        <w:t>contacto</w:t>
      </w:r>
      <w:r w:rsidR="00C17398" w:rsidRPr="00762014">
        <w:rPr>
          <w:snapToGrid w:val="0"/>
          <w:sz w:val="24"/>
          <w:szCs w:val="22"/>
          <w:lang w:val="es-ES_tradnl" w:eastAsia="es-ES"/>
        </w:rPr>
        <w:t>s</w:t>
      </w:r>
      <w:r w:rsidR="00AC06B6" w:rsidRPr="00762014">
        <w:rPr>
          <w:snapToGrid w:val="0"/>
          <w:sz w:val="24"/>
          <w:szCs w:val="22"/>
          <w:lang w:val="es-ES_tradnl" w:eastAsia="es-ES"/>
        </w:rPr>
        <w:t xml:space="preserve"> </w:t>
      </w:r>
      <w:r w:rsidRPr="00762014">
        <w:rPr>
          <w:snapToGrid w:val="0"/>
          <w:sz w:val="24"/>
          <w:szCs w:val="22"/>
          <w:lang w:val="es-ES_tradnl" w:eastAsia="es-ES"/>
        </w:rPr>
        <w:t xml:space="preserve">de funcionarios que representan a la </w:t>
      </w:r>
      <w:r w:rsidR="00AC06B6" w:rsidRPr="00762014">
        <w:rPr>
          <w:snapToGrid w:val="0"/>
          <w:sz w:val="24"/>
          <w:szCs w:val="22"/>
          <w:lang w:val="es-ES_tradnl" w:eastAsia="es-ES"/>
        </w:rPr>
        <w:t>Federación Red NicaSalud (Receptor Principal)</w:t>
      </w:r>
      <w:r w:rsidRPr="00762014">
        <w:rPr>
          <w:snapToGrid w:val="0"/>
          <w:sz w:val="24"/>
          <w:szCs w:val="22"/>
          <w:lang w:val="es-ES_tradnl" w:eastAsia="es-ES"/>
        </w:rPr>
        <w:t>:</w:t>
      </w:r>
    </w:p>
    <w:p w14:paraId="17BE9494" w14:textId="77777777" w:rsidR="00E15F3E" w:rsidRPr="00762014" w:rsidRDefault="00610900" w:rsidP="00291082">
      <w:pPr>
        <w:widowControl w:val="0"/>
        <w:numPr>
          <w:ilvl w:val="0"/>
          <w:numId w:val="11"/>
        </w:numPr>
        <w:spacing w:after="120"/>
        <w:jc w:val="both"/>
        <w:rPr>
          <w:snapToGrid w:val="0"/>
          <w:sz w:val="24"/>
          <w:szCs w:val="22"/>
          <w:lang w:val="es-ES_tradnl" w:eastAsia="es-ES"/>
        </w:rPr>
      </w:pPr>
      <w:r w:rsidRPr="00762014">
        <w:rPr>
          <w:snapToGrid w:val="0"/>
          <w:sz w:val="24"/>
          <w:szCs w:val="22"/>
          <w:lang w:val="es-ES_tradnl" w:eastAsia="es-ES"/>
        </w:rPr>
        <w:t>Lic</w:t>
      </w:r>
      <w:r w:rsidR="00E15F3E" w:rsidRPr="00762014">
        <w:rPr>
          <w:snapToGrid w:val="0"/>
          <w:sz w:val="24"/>
          <w:szCs w:val="22"/>
          <w:lang w:val="es-ES_tradnl" w:eastAsia="es-ES"/>
        </w:rPr>
        <w:t xml:space="preserve">. </w:t>
      </w:r>
      <w:r w:rsidRPr="00762014">
        <w:rPr>
          <w:snapToGrid w:val="0"/>
          <w:sz w:val="24"/>
          <w:szCs w:val="22"/>
          <w:lang w:val="es-ES_tradnl" w:eastAsia="es-ES"/>
        </w:rPr>
        <w:t xml:space="preserve">Gertrudis </w:t>
      </w:r>
      <w:r w:rsidR="00056CA1" w:rsidRPr="00762014">
        <w:rPr>
          <w:snapToGrid w:val="0"/>
          <w:sz w:val="24"/>
          <w:szCs w:val="22"/>
          <w:lang w:val="es-ES_tradnl" w:eastAsia="es-ES"/>
        </w:rPr>
        <w:t>Medrano,</w:t>
      </w:r>
      <w:r w:rsidR="00E15F3E" w:rsidRPr="00762014">
        <w:rPr>
          <w:snapToGrid w:val="0"/>
          <w:sz w:val="24"/>
          <w:szCs w:val="22"/>
          <w:lang w:val="es-ES_tradnl" w:eastAsia="es-ES"/>
        </w:rPr>
        <w:t xml:space="preserve"> </w:t>
      </w:r>
      <w:r w:rsidR="00E15F3E" w:rsidRPr="00762014">
        <w:rPr>
          <w:i/>
          <w:snapToGrid w:val="0"/>
          <w:sz w:val="24"/>
          <w:szCs w:val="22"/>
          <w:lang w:val="es-ES_tradnl" w:eastAsia="es-ES"/>
        </w:rPr>
        <w:t xml:space="preserve">Directora </w:t>
      </w:r>
      <w:r w:rsidR="00056CA1" w:rsidRPr="00762014">
        <w:rPr>
          <w:i/>
          <w:snapToGrid w:val="0"/>
          <w:sz w:val="24"/>
          <w:szCs w:val="22"/>
          <w:lang w:val="es-ES_tradnl" w:eastAsia="es-ES"/>
        </w:rPr>
        <w:t>Ejecutiva</w:t>
      </w:r>
      <w:r w:rsidR="00056CA1" w:rsidRPr="00762014">
        <w:rPr>
          <w:snapToGrid w:val="0"/>
          <w:sz w:val="24"/>
          <w:szCs w:val="22"/>
          <w:lang w:val="es-ES_tradnl" w:eastAsia="es-ES"/>
        </w:rPr>
        <w:t xml:space="preserve"> </w:t>
      </w:r>
      <w:r w:rsidR="00492FDC">
        <w:rPr>
          <w:snapToGrid w:val="0"/>
          <w:sz w:val="24"/>
          <w:szCs w:val="22"/>
          <w:lang w:val="es-ES_tradnl" w:eastAsia="es-ES"/>
        </w:rPr>
        <w:t>–</w:t>
      </w:r>
      <w:r w:rsidR="00E15F3E" w:rsidRPr="00762014">
        <w:rPr>
          <w:snapToGrid w:val="0"/>
          <w:sz w:val="24"/>
          <w:szCs w:val="22"/>
          <w:lang w:val="es-ES_tradnl" w:eastAsia="es-ES"/>
        </w:rPr>
        <w:t xml:space="preserve"> </w:t>
      </w:r>
      <w:r w:rsidR="00AC06B6" w:rsidRPr="00762014">
        <w:rPr>
          <w:snapToGrid w:val="0"/>
          <w:sz w:val="24"/>
          <w:szCs w:val="22"/>
          <w:lang w:val="es-ES_tradnl" w:eastAsia="es-ES"/>
        </w:rPr>
        <w:t>email</w:t>
      </w:r>
      <w:r w:rsidR="00492FDC">
        <w:rPr>
          <w:snapToGrid w:val="0"/>
          <w:sz w:val="24"/>
          <w:szCs w:val="22"/>
          <w:lang w:val="es-ES_tradnl" w:eastAsia="es-ES"/>
        </w:rPr>
        <w:t>:</w:t>
      </w:r>
      <w:r w:rsidR="00E15F3E" w:rsidRPr="00762014">
        <w:rPr>
          <w:snapToGrid w:val="0"/>
          <w:sz w:val="24"/>
          <w:szCs w:val="22"/>
          <w:lang w:val="es-ES_tradnl" w:eastAsia="es-ES"/>
        </w:rPr>
        <w:t xml:space="preserve"> </w:t>
      </w:r>
      <w:hyperlink r:id="rId23" w:history="1">
        <w:r w:rsidR="00CF4AE4" w:rsidRPr="00762014">
          <w:rPr>
            <w:rStyle w:val="Hyperlink"/>
            <w:color w:val="auto"/>
            <w:sz w:val="24"/>
            <w:szCs w:val="22"/>
            <w:lang w:val="es-419"/>
          </w:rPr>
          <w:t>gmedrano</w:t>
        </w:r>
        <w:r w:rsidR="00CF4AE4" w:rsidRPr="00762014">
          <w:rPr>
            <w:rStyle w:val="Hyperlink"/>
            <w:snapToGrid w:val="0"/>
            <w:color w:val="auto"/>
            <w:sz w:val="24"/>
            <w:szCs w:val="22"/>
            <w:lang w:val="es-ES_tradnl" w:eastAsia="es-ES"/>
          </w:rPr>
          <w:t>@nicasalud.org.ni</w:t>
        </w:r>
      </w:hyperlink>
      <w:r w:rsidR="00492FDC">
        <w:rPr>
          <w:rStyle w:val="Hyperlink"/>
          <w:snapToGrid w:val="0"/>
          <w:color w:val="auto"/>
          <w:sz w:val="24"/>
          <w:szCs w:val="22"/>
          <w:lang w:val="es-ES_tradnl" w:eastAsia="es-ES"/>
        </w:rPr>
        <w:t xml:space="preserve"> </w:t>
      </w:r>
    </w:p>
    <w:p w14:paraId="0556C0BE" w14:textId="77777777" w:rsidR="00E15F3E" w:rsidRPr="00762014" w:rsidRDefault="00E15F3E" w:rsidP="00291082">
      <w:pPr>
        <w:widowControl w:val="0"/>
        <w:numPr>
          <w:ilvl w:val="0"/>
          <w:numId w:val="11"/>
        </w:numPr>
        <w:spacing w:after="120"/>
        <w:jc w:val="both"/>
        <w:rPr>
          <w:snapToGrid w:val="0"/>
          <w:sz w:val="24"/>
          <w:szCs w:val="22"/>
          <w:lang w:val="es-ES_tradnl" w:eastAsia="es-ES"/>
        </w:rPr>
      </w:pPr>
      <w:r w:rsidRPr="00762014">
        <w:rPr>
          <w:snapToGrid w:val="0"/>
          <w:sz w:val="24"/>
          <w:szCs w:val="22"/>
          <w:lang w:val="es-ES_tradnl" w:eastAsia="es-ES"/>
        </w:rPr>
        <w:t xml:space="preserve">Dr. Fernando Campos, </w:t>
      </w:r>
      <w:r w:rsidR="00622719" w:rsidRPr="00762014">
        <w:rPr>
          <w:i/>
          <w:snapToGrid w:val="0"/>
          <w:sz w:val="24"/>
          <w:szCs w:val="22"/>
          <w:lang w:val="es-ES_tradnl" w:eastAsia="es-ES"/>
        </w:rPr>
        <w:t>Coordinador de Pro</w:t>
      </w:r>
      <w:r w:rsidR="003E3BF3" w:rsidRPr="00762014">
        <w:rPr>
          <w:i/>
          <w:snapToGrid w:val="0"/>
          <w:sz w:val="24"/>
          <w:szCs w:val="22"/>
          <w:lang w:val="es-ES_tradnl" w:eastAsia="es-ES"/>
        </w:rPr>
        <w:t>yecto</w:t>
      </w:r>
      <w:r w:rsidRPr="00762014">
        <w:rPr>
          <w:snapToGrid w:val="0"/>
          <w:sz w:val="24"/>
          <w:szCs w:val="22"/>
          <w:lang w:val="es-ES_tradnl" w:eastAsia="es-ES"/>
        </w:rPr>
        <w:t xml:space="preserve"> – </w:t>
      </w:r>
      <w:r w:rsidR="00AC06B6" w:rsidRPr="00762014">
        <w:rPr>
          <w:snapToGrid w:val="0"/>
          <w:sz w:val="24"/>
          <w:szCs w:val="22"/>
          <w:lang w:val="es-ES_tradnl" w:eastAsia="es-ES"/>
        </w:rPr>
        <w:t>email</w:t>
      </w:r>
      <w:r w:rsidR="00492FDC">
        <w:rPr>
          <w:snapToGrid w:val="0"/>
          <w:sz w:val="24"/>
          <w:szCs w:val="22"/>
          <w:lang w:val="es-ES_tradnl" w:eastAsia="es-ES"/>
        </w:rPr>
        <w:t>:</w:t>
      </w:r>
      <w:r w:rsidRPr="00762014">
        <w:rPr>
          <w:snapToGrid w:val="0"/>
          <w:sz w:val="24"/>
          <w:szCs w:val="22"/>
          <w:lang w:val="es-ES_tradnl" w:eastAsia="es-ES"/>
        </w:rPr>
        <w:t xml:space="preserve">  </w:t>
      </w:r>
      <w:hyperlink r:id="rId24" w:history="1">
        <w:r w:rsidRPr="00762014">
          <w:rPr>
            <w:snapToGrid w:val="0"/>
            <w:sz w:val="24"/>
            <w:szCs w:val="22"/>
            <w:u w:val="single"/>
            <w:lang w:val="es-ES_tradnl" w:eastAsia="es-ES"/>
          </w:rPr>
          <w:t>fcampos@nicasalud.org.ni</w:t>
        </w:r>
      </w:hyperlink>
    </w:p>
    <w:p w14:paraId="6C2CFDBB" w14:textId="77777777" w:rsidR="00291082" w:rsidRPr="00291082" w:rsidRDefault="00CF4AE4" w:rsidP="00291082">
      <w:pPr>
        <w:widowControl w:val="0"/>
        <w:numPr>
          <w:ilvl w:val="0"/>
          <w:numId w:val="12"/>
        </w:numPr>
        <w:spacing w:after="120"/>
        <w:jc w:val="both"/>
        <w:rPr>
          <w:snapToGrid w:val="0"/>
          <w:sz w:val="24"/>
          <w:szCs w:val="22"/>
          <w:lang w:val="es-ES_tradnl" w:eastAsia="es-ES"/>
        </w:rPr>
      </w:pPr>
      <w:r w:rsidRPr="00762014">
        <w:rPr>
          <w:snapToGrid w:val="0"/>
          <w:sz w:val="24"/>
          <w:szCs w:val="22"/>
          <w:lang w:val="es-ES_tradnl" w:eastAsia="es-ES"/>
        </w:rPr>
        <w:t>Lic</w:t>
      </w:r>
      <w:r w:rsidR="00E15F3E" w:rsidRPr="00762014">
        <w:rPr>
          <w:snapToGrid w:val="0"/>
          <w:sz w:val="24"/>
          <w:szCs w:val="22"/>
          <w:lang w:val="es-ES_tradnl" w:eastAsia="es-ES"/>
        </w:rPr>
        <w:t xml:space="preserve">. </w:t>
      </w:r>
      <w:r w:rsidRPr="00762014">
        <w:rPr>
          <w:snapToGrid w:val="0"/>
          <w:sz w:val="24"/>
          <w:szCs w:val="22"/>
          <w:lang w:val="es-ES_tradnl" w:eastAsia="es-ES"/>
        </w:rPr>
        <w:t>Ciro M. Ruiz Galeano</w:t>
      </w:r>
      <w:r w:rsidR="00E15F3E" w:rsidRPr="00762014">
        <w:rPr>
          <w:snapToGrid w:val="0"/>
          <w:sz w:val="24"/>
          <w:szCs w:val="22"/>
          <w:lang w:val="es-ES_tradnl" w:eastAsia="es-ES"/>
        </w:rPr>
        <w:t xml:space="preserve">, </w:t>
      </w:r>
      <w:r w:rsidRPr="00762014">
        <w:rPr>
          <w:snapToGrid w:val="0"/>
          <w:sz w:val="24"/>
          <w:szCs w:val="22"/>
          <w:lang w:val="es-ES_tradnl" w:eastAsia="es-ES"/>
        </w:rPr>
        <w:t>Coordinado</w:t>
      </w:r>
      <w:r w:rsidR="003248F7" w:rsidRPr="00762014">
        <w:rPr>
          <w:snapToGrid w:val="0"/>
          <w:sz w:val="24"/>
          <w:szCs w:val="22"/>
          <w:lang w:val="es-ES_tradnl" w:eastAsia="es-ES"/>
        </w:rPr>
        <w:t>r</w:t>
      </w:r>
      <w:r w:rsidR="004055BF" w:rsidRPr="00762014">
        <w:rPr>
          <w:i/>
          <w:snapToGrid w:val="0"/>
          <w:sz w:val="24"/>
          <w:szCs w:val="22"/>
          <w:lang w:val="es-ES_tradnl" w:eastAsia="es-ES"/>
        </w:rPr>
        <w:t xml:space="preserve"> Finan</w:t>
      </w:r>
      <w:r w:rsidRPr="00762014">
        <w:rPr>
          <w:i/>
          <w:snapToGrid w:val="0"/>
          <w:sz w:val="24"/>
          <w:szCs w:val="22"/>
          <w:lang w:val="es-ES_tradnl" w:eastAsia="es-ES"/>
        </w:rPr>
        <w:t>ciero</w:t>
      </w:r>
      <w:r w:rsidR="00E15F3E" w:rsidRPr="00762014">
        <w:rPr>
          <w:snapToGrid w:val="0"/>
          <w:sz w:val="24"/>
          <w:szCs w:val="22"/>
          <w:lang w:val="es-ES_tradnl" w:eastAsia="es-ES"/>
        </w:rPr>
        <w:t xml:space="preserve"> – </w:t>
      </w:r>
      <w:r w:rsidR="00AC06B6" w:rsidRPr="00762014">
        <w:rPr>
          <w:snapToGrid w:val="0"/>
          <w:sz w:val="24"/>
          <w:szCs w:val="22"/>
          <w:lang w:val="es-ES_tradnl" w:eastAsia="es-ES"/>
        </w:rPr>
        <w:t>email</w:t>
      </w:r>
      <w:r w:rsidR="00492FDC">
        <w:rPr>
          <w:snapToGrid w:val="0"/>
          <w:sz w:val="24"/>
          <w:szCs w:val="22"/>
          <w:lang w:val="es-ES_tradnl" w:eastAsia="es-ES"/>
        </w:rPr>
        <w:t>:</w:t>
      </w:r>
      <w:r w:rsidR="00E15F3E" w:rsidRPr="00762014">
        <w:rPr>
          <w:snapToGrid w:val="0"/>
          <w:sz w:val="24"/>
          <w:szCs w:val="22"/>
          <w:lang w:val="es-ES_tradnl" w:eastAsia="es-ES"/>
        </w:rPr>
        <w:t xml:space="preserve"> </w:t>
      </w:r>
      <w:hyperlink r:id="rId25" w:history="1">
        <w:r w:rsidRPr="00762014">
          <w:rPr>
            <w:rStyle w:val="Hyperlink"/>
            <w:snapToGrid w:val="0"/>
            <w:color w:val="auto"/>
            <w:sz w:val="24"/>
            <w:szCs w:val="22"/>
            <w:lang w:val="es-ES_tradnl" w:eastAsia="es-ES"/>
          </w:rPr>
          <w:t>cruizg@nicasalud.org.ni</w:t>
        </w:r>
      </w:hyperlink>
      <w:r w:rsidR="00291082">
        <w:rPr>
          <w:rStyle w:val="Hyperlink"/>
          <w:snapToGrid w:val="0"/>
          <w:color w:val="auto"/>
          <w:sz w:val="24"/>
          <w:szCs w:val="22"/>
          <w:u w:val="none"/>
          <w:lang w:val="es-ES_tradnl" w:eastAsia="es-ES"/>
        </w:rPr>
        <w:t xml:space="preserve"> </w:t>
      </w:r>
      <w:r w:rsidR="00291082" w:rsidRPr="00291082">
        <w:rPr>
          <w:snapToGrid w:val="0"/>
          <w:sz w:val="24"/>
          <w:lang w:val="es-ES_tradnl" w:eastAsia="es-ES"/>
        </w:rPr>
        <w:t>Para este proceso de auditoria la persona contacto del Área Financiera</w:t>
      </w:r>
      <w:r w:rsidR="00291082">
        <w:rPr>
          <w:snapToGrid w:val="0"/>
          <w:sz w:val="24"/>
          <w:lang w:val="es-ES_tradnl" w:eastAsia="es-ES"/>
        </w:rPr>
        <w:t xml:space="preserve"> es el Lic. Ruíz.</w:t>
      </w:r>
    </w:p>
    <w:p w14:paraId="150EDE6E" w14:textId="77777777" w:rsidR="00291082" w:rsidRDefault="00291082" w:rsidP="00291082">
      <w:pPr>
        <w:widowControl w:val="0"/>
        <w:spacing w:after="120"/>
        <w:jc w:val="both"/>
        <w:rPr>
          <w:snapToGrid w:val="0"/>
          <w:sz w:val="24"/>
          <w:szCs w:val="22"/>
          <w:lang w:val="es-ES" w:eastAsia="en-US"/>
        </w:rPr>
      </w:pPr>
      <w:r w:rsidRPr="00762014">
        <w:rPr>
          <w:snapToGrid w:val="0"/>
          <w:sz w:val="24"/>
          <w:szCs w:val="22"/>
          <w:lang w:val="es-ES_tradnl" w:eastAsia="en-US"/>
        </w:rPr>
        <w:t xml:space="preserve">A </w:t>
      </w:r>
      <w:r w:rsidRPr="00762014">
        <w:rPr>
          <w:snapToGrid w:val="0"/>
          <w:sz w:val="24"/>
          <w:szCs w:val="22"/>
          <w:lang w:val="es-ES" w:eastAsia="en-US"/>
        </w:rPr>
        <w:t xml:space="preserve">la firma Auditora que resulte ganadora del proceso de licitación, </w:t>
      </w:r>
      <w:r>
        <w:rPr>
          <w:snapToGrid w:val="0"/>
          <w:sz w:val="24"/>
          <w:szCs w:val="22"/>
          <w:lang w:val="es-ES" w:eastAsia="en-US"/>
        </w:rPr>
        <w:t xml:space="preserve">se </w:t>
      </w:r>
      <w:r w:rsidRPr="00762014">
        <w:rPr>
          <w:snapToGrid w:val="0"/>
          <w:sz w:val="24"/>
          <w:szCs w:val="22"/>
          <w:lang w:val="es-ES" w:eastAsia="en-US"/>
        </w:rPr>
        <w:t>le facilitarán los contactos</w:t>
      </w:r>
      <w:r>
        <w:rPr>
          <w:snapToGrid w:val="0"/>
          <w:sz w:val="24"/>
          <w:szCs w:val="22"/>
          <w:lang w:val="es-ES" w:eastAsia="en-US"/>
        </w:rPr>
        <w:t xml:space="preserve"> operativos </w:t>
      </w:r>
      <w:r w:rsidRPr="00762014">
        <w:rPr>
          <w:snapToGrid w:val="0"/>
          <w:sz w:val="24"/>
          <w:szCs w:val="22"/>
          <w:lang w:val="es-ES" w:eastAsia="en-US"/>
        </w:rPr>
        <w:t>de las organizaciones subreceptoras que serán auditadas.</w:t>
      </w:r>
    </w:p>
    <w:p w14:paraId="7677E039" w14:textId="77777777" w:rsidR="00C17398" w:rsidRPr="00915460" w:rsidRDefault="00C17398" w:rsidP="00915460">
      <w:pPr>
        <w:pStyle w:val="Heading1"/>
        <w:numPr>
          <w:ilvl w:val="0"/>
          <w:numId w:val="39"/>
        </w:numPr>
        <w:rPr>
          <w:snapToGrid w:val="0"/>
          <w:color w:val="auto"/>
          <w:lang w:val="es-ES_tradnl" w:eastAsia="es-ES"/>
        </w:rPr>
      </w:pPr>
      <w:bookmarkStart w:id="7" w:name="_Toc109287558"/>
      <w:r w:rsidRPr="00915460">
        <w:rPr>
          <w:snapToGrid w:val="0"/>
          <w:color w:val="auto"/>
          <w:lang w:val="es-ES_tradnl" w:eastAsia="es-ES"/>
        </w:rPr>
        <w:t>Objetivos de la auditoría</w:t>
      </w:r>
      <w:bookmarkEnd w:id="7"/>
    </w:p>
    <w:p w14:paraId="6FE1E8BC" w14:textId="77777777" w:rsidR="00915460" w:rsidRDefault="00915460" w:rsidP="00291082">
      <w:pPr>
        <w:spacing w:after="120"/>
        <w:jc w:val="both"/>
        <w:rPr>
          <w:snapToGrid w:val="0"/>
          <w:sz w:val="24"/>
          <w:lang w:val="es-ES_tradnl" w:eastAsia="es-ES"/>
        </w:rPr>
      </w:pPr>
    </w:p>
    <w:p w14:paraId="48AA6237" w14:textId="77777777" w:rsidR="00C17398" w:rsidRPr="00291082" w:rsidRDefault="00C17398" w:rsidP="00291082">
      <w:pPr>
        <w:spacing w:after="120"/>
        <w:jc w:val="both"/>
        <w:rPr>
          <w:snapToGrid w:val="0"/>
          <w:sz w:val="24"/>
          <w:lang w:val="es-ES_tradnl" w:eastAsia="es-ES"/>
        </w:rPr>
      </w:pPr>
      <w:r w:rsidRPr="00291082">
        <w:rPr>
          <w:snapToGrid w:val="0"/>
          <w:sz w:val="24"/>
          <w:lang w:val="es-ES_tradnl" w:eastAsia="es-ES"/>
        </w:rPr>
        <w:t xml:space="preserve">El objetivo de la auditoría financiera a los estados financieros del programa de subvención es permitir que el auditor exprese una opinión profesional independiente sobre: </w:t>
      </w:r>
    </w:p>
    <w:p w14:paraId="4B86C3CD" w14:textId="77777777" w:rsidR="00C17398" w:rsidRPr="00291082" w:rsidRDefault="00232F2B" w:rsidP="00291082">
      <w:pPr>
        <w:pStyle w:val="Default"/>
        <w:numPr>
          <w:ilvl w:val="1"/>
          <w:numId w:val="13"/>
        </w:numPr>
        <w:spacing w:after="120"/>
        <w:ind w:left="709"/>
        <w:jc w:val="both"/>
        <w:rPr>
          <w:rFonts w:cs="Times New Roman"/>
          <w:szCs w:val="22"/>
        </w:rPr>
      </w:pPr>
      <w:r w:rsidRPr="00291082">
        <w:rPr>
          <w:rFonts w:cs="Times New Roman"/>
          <w:szCs w:val="22"/>
        </w:rPr>
        <w:t>Si los estados financieros de propósito especial de la subvención (</w:t>
      </w:r>
      <w:bookmarkStart w:id="8" w:name="_Hlk54164007"/>
      <w:r w:rsidRPr="00291082">
        <w:rPr>
          <w:rFonts w:cs="Times New Roman"/>
          <w:szCs w:val="22"/>
        </w:rPr>
        <w:t>SPGFS</w:t>
      </w:r>
      <w:bookmarkEnd w:id="8"/>
      <w:r w:rsidRPr="00291082">
        <w:rPr>
          <w:rFonts w:cs="Times New Roman"/>
          <w:szCs w:val="22"/>
        </w:rPr>
        <w:t>) presentan debidamente en todos los aspectos sustanciales la situación financiera, los fondos recibidos y los gastos incurridos por el Receptor Principal (y los subreceptores) para el período de presentación de informes y de acuerdo con el marco de contabilidad aplicable;</w:t>
      </w:r>
    </w:p>
    <w:p w14:paraId="0C1277ED" w14:textId="77777777" w:rsidR="00C17398" w:rsidRPr="00291082" w:rsidRDefault="00C17398" w:rsidP="00291082">
      <w:pPr>
        <w:pStyle w:val="Default"/>
        <w:numPr>
          <w:ilvl w:val="1"/>
          <w:numId w:val="13"/>
        </w:numPr>
        <w:spacing w:after="120"/>
        <w:ind w:left="709"/>
        <w:jc w:val="both"/>
        <w:rPr>
          <w:rFonts w:cs="Times New Roman"/>
          <w:szCs w:val="22"/>
        </w:rPr>
      </w:pPr>
      <w:r w:rsidRPr="00291082">
        <w:rPr>
          <w:rFonts w:cs="Times New Roman"/>
          <w:szCs w:val="22"/>
        </w:rPr>
        <w:t>Si, en todos los aspectos</w:t>
      </w:r>
      <w:r w:rsidR="00232F2B" w:rsidRPr="00291082">
        <w:rPr>
          <w:rFonts w:cs="Times New Roman"/>
          <w:szCs w:val="22"/>
        </w:rPr>
        <w:t xml:space="preserve"> sustanciales, los fondos de subvención se han utilizado de conformidad con las disposiciones del acuerdo de </w:t>
      </w:r>
      <w:r w:rsidR="0064195A" w:rsidRPr="00291082">
        <w:rPr>
          <w:rFonts w:cs="Times New Roman"/>
          <w:szCs w:val="22"/>
        </w:rPr>
        <w:t>subvención, incluido</w:t>
      </w:r>
      <w:r w:rsidR="00232F2B" w:rsidRPr="00291082">
        <w:rPr>
          <w:rFonts w:cs="Times New Roman"/>
          <w:szCs w:val="22"/>
        </w:rPr>
        <w:t xml:space="preserve"> el presupuesto y el pan de trabajo aprobados y cualesquiera modificaciones de estos según lo dispuesto en las cartas de ejecución;</w:t>
      </w:r>
    </w:p>
    <w:p w14:paraId="3B8F7A84" w14:textId="77777777" w:rsidR="0064195A" w:rsidRDefault="0064195A" w:rsidP="00291082">
      <w:pPr>
        <w:spacing w:after="120"/>
        <w:jc w:val="both"/>
        <w:rPr>
          <w:rFonts w:eastAsia="Calibri"/>
          <w:sz w:val="24"/>
          <w:szCs w:val="22"/>
          <w:lang w:val="es-ES_tradnl" w:eastAsia="en-US"/>
        </w:rPr>
      </w:pPr>
      <w:r w:rsidRPr="00291082">
        <w:rPr>
          <w:snapToGrid w:val="0"/>
          <w:sz w:val="24"/>
          <w:szCs w:val="22"/>
          <w:lang w:val="es-ES_tradnl" w:eastAsia="es-ES"/>
        </w:rPr>
        <w:t xml:space="preserve">El </w:t>
      </w:r>
      <w:r w:rsidRPr="00291082">
        <w:rPr>
          <w:b/>
          <w:snapToGrid w:val="0"/>
          <w:sz w:val="24"/>
          <w:szCs w:val="22"/>
          <w:lang w:val="es-ES_tradnl" w:eastAsia="es-ES"/>
        </w:rPr>
        <w:t xml:space="preserve">Objetivo de la auditoría </w:t>
      </w:r>
      <w:r w:rsidRPr="00291082">
        <w:rPr>
          <w:snapToGrid w:val="0"/>
          <w:sz w:val="24"/>
          <w:szCs w:val="22"/>
          <w:lang w:val="es-ES_tradnl" w:eastAsia="es-ES"/>
        </w:rPr>
        <w:t>es también</w:t>
      </w:r>
      <w:r w:rsidRPr="00291082">
        <w:rPr>
          <w:b/>
          <w:snapToGrid w:val="0"/>
          <w:sz w:val="24"/>
          <w:szCs w:val="22"/>
          <w:lang w:val="es-ES_tradnl" w:eastAsia="es-ES"/>
        </w:rPr>
        <w:t xml:space="preserve"> </w:t>
      </w:r>
      <w:r w:rsidRPr="00291082">
        <w:rPr>
          <w:bCs/>
          <w:snapToGrid w:val="0"/>
          <w:sz w:val="24"/>
          <w:szCs w:val="22"/>
          <w:lang w:val="es-ES_tradnl" w:eastAsia="es-ES"/>
        </w:rPr>
        <w:t>evaluar</w:t>
      </w:r>
      <w:r w:rsidRPr="00291082">
        <w:rPr>
          <w:rFonts w:eastAsia="Calibri"/>
          <w:sz w:val="24"/>
          <w:szCs w:val="22"/>
          <w:lang w:val="es-ES_tradnl" w:eastAsia="en-US"/>
        </w:rPr>
        <w:t xml:space="preserve"> </w:t>
      </w:r>
      <w:r w:rsidR="00291082" w:rsidRPr="00291082">
        <w:rPr>
          <w:rFonts w:eastAsia="Calibri"/>
          <w:sz w:val="24"/>
          <w:szCs w:val="22"/>
          <w:lang w:val="es-ES_tradnl" w:eastAsia="en-US"/>
        </w:rPr>
        <w:t xml:space="preserve">y </w:t>
      </w:r>
      <w:r w:rsidRPr="00291082">
        <w:rPr>
          <w:rFonts w:eastAsia="Calibri"/>
          <w:sz w:val="24"/>
          <w:szCs w:val="22"/>
          <w:lang w:val="es-ES_tradnl" w:eastAsia="en-US"/>
        </w:rPr>
        <w:t xml:space="preserve">obtener suficiente comprensión y determinar si el marco de control interno del programa es satisfactorio e informar sobre cualquier deficiencia detectada. El auditor </w:t>
      </w:r>
      <w:r w:rsidRPr="00291082">
        <w:rPr>
          <w:rFonts w:eastAsia="Calibri"/>
          <w:b/>
          <w:sz w:val="24"/>
          <w:szCs w:val="22"/>
          <w:lang w:val="es-ES_tradnl" w:eastAsia="en-US"/>
        </w:rPr>
        <w:t>debe</w:t>
      </w:r>
      <w:r w:rsidRPr="00291082">
        <w:rPr>
          <w:rFonts w:eastAsia="Calibri"/>
          <w:sz w:val="24"/>
          <w:szCs w:val="22"/>
          <w:lang w:val="es-ES_tradnl" w:eastAsia="en-US"/>
        </w:rPr>
        <w:t xml:space="preserve"> revisar el marco de control interno del Receptor Principal y de los </w:t>
      </w:r>
      <w:r w:rsidR="006A0A92" w:rsidRPr="00291082">
        <w:rPr>
          <w:rFonts w:eastAsia="Calibri"/>
          <w:sz w:val="24"/>
          <w:szCs w:val="22"/>
          <w:lang w:val="es-ES_tradnl" w:eastAsia="en-US"/>
        </w:rPr>
        <w:t>su</w:t>
      </w:r>
      <w:r w:rsidR="0057463E" w:rsidRPr="008137D1">
        <w:rPr>
          <w:rFonts w:eastAsia="Calibri"/>
          <w:sz w:val="24"/>
          <w:szCs w:val="22"/>
          <w:lang w:val="es-ES_tradnl" w:eastAsia="en-US"/>
        </w:rPr>
        <w:t>b</w:t>
      </w:r>
      <w:r w:rsidR="006A0A92" w:rsidRPr="008137D1">
        <w:rPr>
          <w:rFonts w:eastAsia="Calibri"/>
          <w:sz w:val="24"/>
          <w:szCs w:val="22"/>
          <w:lang w:val="es-ES_tradnl" w:eastAsia="en-US"/>
        </w:rPr>
        <w:t>re</w:t>
      </w:r>
      <w:r w:rsidR="006A0A92" w:rsidRPr="00291082">
        <w:rPr>
          <w:rFonts w:eastAsia="Calibri"/>
          <w:sz w:val="24"/>
          <w:szCs w:val="22"/>
          <w:lang w:val="es-ES_tradnl" w:eastAsia="en-US"/>
        </w:rPr>
        <w:t>ceptores</w:t>
      </w:r>
      <w:r w:rsidRPr="00291082">
        <w:rPr>
          <w:rFonts w:eastAsia="Calibri"/>
          <w:sz w:val="24"/>
          <w:szCs w:val="22"/>
          <w:lang w:val="es-ES_tradnl" w:eastAsia="en-US"/>
        </w:rPr>
        <w:t xml:space="preserve"> clave identificado por el equipo de país del Fondo Mundial en colaboración con el Receptor Principal. Esta revisión incluye a cualquier agente de una tercera parte que gestione un proceso en la ejecución de la subvención</w:t>
      </w:r>
      <w:r w:rsidRPr="00291082">
        <w:rPr>
          <w:rFonts w:eastAsia="Calibri"/>
          <w:sz w:val="24"/>
          <w:szCs w:val="22"/>
          <w:vertAlign w:val="superscript"/>
          <w:lang w:val="es-ES_tradnl" w:eastAsia="en-US"/>
        </w:rPr>
        <w:footnoteReference w:id="2"/>
      </w:r>
      <w:r w:rsidRPr="00291082">
        <w:rPr>
          <w:rFonts w:eastAsia="Calibri"/>
          <w:sz w:val="24"/>
          <w:szCs w:val="22"/>
          <w:lang w:val="es-ES_tradnl" w:eastAsia="en-US"/>
        </w:rPr>
        <w:t>.</w:t>
      </w:r>
    </w:p>
    <w:p w14:paraId="423F85F7" w14:textId="77777777" w:rsidR="00DD2DEF" w:rsidRPr="00915460" w:rsidRDefault="00DD2DEF" w:rsidP="00915460">
      <w:pPr>
        <w:pStyle w:val="Heading1"/>
        <w:numPr>
          <w:ilvl w:val="0"/>
          <w:numId w:val="39"/>
        </w:numPr>
        <w:rPr>
          <w:snapToGrid w:val="0"/>
          <w:color w:val="auto"/>
          <w:lang w:val="es-ES_tradnl" w:eastAsia="es-ES"/>
        </w:rPr>
      </w:pPr>
      <w:bookmarkStart w:id="9" w:name="_Toc109287559"/>
      <w:r w:rsidRPr="00915460">
        <w:rPr>
          <w:snapToGrid w:val="0"/>
          <w:color w:val="auto"/>
          <w:lang w:val="es-ES_tradnl" w:eastAsia="es-ES"/>
        </w:rPr>
        <w:t xml:space="preserve">Responsabilidad de preparación de </w:t>
      </w:r>
      <w:r w:rsidR="00F45538" w:rsidRPr="00915460">
        <w:rPr>
          <w:snapToGrid w:val="0"/>
          <w:color w:val="auto"/>
          <w:lang w:val="es-ES_tradnl" w:eastAsia="es-ES"/>
        </w:rPr>
        <w:t>Estados Financieros de propósito especial de la subvención (SPGFS)</w:t>
      </w:r>
      <w:r w:rsidRPr="00915460">
        <w:rPr>
          <w:snapToGrid w:val="0"/>
          <w:color w:val="auto"/>
          <w:lang w:val="es-ES_tradnl" w:eastAsia="es-ES"/>
        </w:rPr>
        <w:t>.</w:t>
      </w:r>
      <w:bookmarkEnd w:id="9"/>
      <w:r w:rsidRPr="00915460">
        <w:rPr>
          <w:snapToGrid w:val="0"/>
          <w:color w:val="auto"/>
          <w:lang w:val="es-ES_tradnl" w:eastAsia="es-ES"/>
        </w:rPr>
        <w:t xml:space="preserve"> </w:t>
      </w:r>
    </w:p>
    <w:p w14:paraId="1A032AD3" w14:textId="77777777" w:rsidR="00915460" w:rsidRDefault="00915460" w:rsidP="00915460">
      <w:pPr>
        <w:widowControl w:val="0"/>
        <w:spacing w:after="120" w:line="240" w:lineRule="atLeast"/>
        <w:jc w:val="both"/>
        <w:rPr>
          <w:bCs/>
          <w:snapToGrid w:val="0"/>
          <w:sz w:val="24"/>
          <w:szCs w:val="22"/>
          <w:lang w:val="es-ES_tradnl" w:eastAsia="es-ES"/>
        </w:rPr>
      </w:pPr>
    </w:p>
    <w:p w14:paraId="068EAF2E" w14:textId="77777777" w:rsidR="007B39BF" w:rsidRPr="008137D1" w:rsidRDefault="007B39BF" w:rsidP="007B39BF">
      <w:pPr>
        <w:numPr>
          <w:ilvl w:val="0"/>
          <w:numId w:val="24"/>
        </w:numPr>
        <w:spacing w:after="120"/>
        <w:jc w:val="both"/>
        <w:rPr>
          <w:rFonts w:asciiTheme="majorHAnsi" w:eastAsia="Calibri" w:hAnsiTheme="majorHAnsi" w:cstheme="majorHAnsi"/>
          <w:lang w:val="es-ES"/>
        </w:rPr>
      </w:pPr>
      <w:r w:rsidRPr="00811088">
        <w:rPr>
          <w:rFonts w:eastAsia="Calibri"/>
          <w:sz w:val="24"/>
          <w:szCs w:val="22"/>
          <w:lang w:val="es-ES_tradnl" w:eastAsia="en-US"/>
        </w:rPr>
        <w:t>La responsabilidad de preparar los SPGFS consolidados recae en el Receptor Principal. El Receptor Principal debe garantizar que la información de los subreceptores se presente utilizando la misma metodología que el RP ha empleado para preparar los SPGFS.</w:t>
      </w:r>
      <w:r w:rsidRPr="008137D1">
        <w:rPr>
          <w:rFonts w:asciiTheme="majorHAnsi" w:eastAsia="Calibri" w:hAnsiTheme="majorHAnsi" w:cstheme="majorHAnsi"/>
          <w:noProof/>
          <w:lang w:val="es"/>
        </w:rPr>
        <w:t xml:space="preserve"> </w:t>
      </w:r>
    </w:p>
    <w:p w14:paraId="6A0D8A50" w14:textId="77777777" w:rsidR="00A65A62" w:rsidRPr="00915460" w:rsidRDefault="00A65A62" w:rsidP="00915460">
      <w:pPr>
        <w:pStyle w:val="Heading1"/>
        <w:numPr>
          <w:ilvl w:val="0"/>
          <w:numId w:val="39"/>
        </w:numPr>
        <w:rPr>
          <w:snapToGrid w:val="0"/>
          <w:color w:val="auto"/>
          <w:lang w:val="es-ES_tradnl" w:eastAsia="es-ES"/>
        </w:rPr>
      </w:pPr>
      <w:bookmarkStart w:id="10" w:name="_Toc5026414"/>
      <w:bookmarkStart w:id="11" w:name="_Toc19971613"/>
      <w:bookmarkStart w:id="12" w:name="_Toc19971779"/>
      <w:bookmarkStart w:id="13" w:name="_Toc19971945"/>
      <w:bookmarkStart w:id="14" w:name="_Toc19972111"/>
      <w:bookmarkStart w:id="15" w:name="_Toc19972277"/>
      <w:bookmarkStart w:id="16" w:name="_Toc19972443"/>
      <w:bookmarkStart w:id="17" w:name="_Toc20466637"/>
      <w:bookmarkStart w:id="18" w:name="_Toc49506735"/>
      <w:bookmarkStart w:id="19" w:name="_Toc109287560"/>
      <w:r w:rsidRPr="00915460">
        <w:rPr>
          <w:snapToGrid w:val="0"/>
          <w:color w:val="auto"/>
          <w:lang w:val="es-ES_tradnl" w:eastAsia="es-ES"/>
        </w:rPr>
        <w:t>Estados financieros de propósito especial de la subvención (</w:t>
      </w:r>
      <w:r w:rsidR="00F45538" w:rsidRPr="00915460">
        <w:rPr>
          <w:snapToGrid w:val="0"/>
          <w:color w:val="auto"/>
          <w:lang w:val="es-ES_tradnl" w:eastAsia="es-ES"/>
        </w:rPr>
        <w:t>S</w:t>
      </w:r>
      <w:r w:rsidR="00F821FC" w:rsidRPr="00915460">
        <w:rPr>
          <w:snapToGrid w:val="0"/>
          <w:color w:val="auto"/>
          <w:lang w:val="es-ES_tradnl" w:eastAsia="es-ES"/>
        </w:rPr>
        <w:t>P</w:t>
      </w:r>
      <w:r w:rsidR="00F45538" w:rsidRPr="00915460">
        <w:rPr>
          <w:snapToGrid w:val="0"/>
          <w:color w:val="auto"/>
          <w:lang w:val="es-ES_tradnl" w:eastAsia="es-ES"/>
        </w:rPr>
        <w:t>GF</w:t>
      </w:r>
      <w:r w:rsidRPr="00915460">
        <w:rPr>
          <w:snapToGrid w:val="0"/>
          <w:color w:val="auto"/>
          <w:lang w:val="es-ES_tradnl" w:eastAsia="es-ES"/>
        </w:rPr>
        <w:t>S).</w:t>
      </w:r>
      <w:bookmarkEnd w:id="10"/>
      <w:bookmarkEnd w:id="11"/>
      <w:bookmarkEnd w:id="12"/>
      <w:bookmarkEnd w:id="13"/>
      <w:bookmarkEnd w:id="14"/>
      <w:bookmarkEnd w:id="15"/>
      <w:bookmarkEnd w:id="16"/>
      <w:bookmarkEnd w:id="17"/>
      <w:bookmarkEnd w:id="18"/>
      <w:bookmarkEnd w:id="19"/>
      <w:r w:rsidRPr="00915460">
        <w:rPr>
          <w:snapToGrid w:val="0"/>
          <w:color w:val="auto"/>
          <w:lang w:val="es-ES_tradnl" w:eastAsia="es-ES"/>
        </w:rPr>
        <w:t xml:space="preserve"> </w:t>
      </w:r>
    </w:p>
    <w:p w14:paraId="24800172" w14:textId="77777777" w:rsidR="00915460" w:rsidRDefault="00915460" w:rsidP="00291082">
      <w:pPr>
        <w:pStyle w:val="Default"/>
        <w:spacing w:after="120"/>
        <w:jc w:val="both"/>
        <w:rPr>
          <w:rFonts w:cs="Times New Roman"/>
          <w:szCs w:val="22"/>
          <w:lang w:val="es-ES_tradnl"/>
        </w:rPr>
      </w:pPr>
    </w:p>
    <w:p w14:paraId="5DC438D8" w14:textId="77777777" w:rsidR="00232F2B" w:rsidRPr="00291082" w:rsidRDefault="00CB34A0" w:rsidP="00291082">
      <w:pPr>
        <w:pStyle w:val="Default"/>
        <w:spacing w:after="120"/>
        <w:jc w:val="both"/>
        <w:rPr>
          <w:rFonts w:cs="Times New Roman"/>
          <w:szCs w:val="22"/>
          <w:lang w:val="es-ES_tradnl"/>
        </w:rPr>
      </w:pPr>
      <w:r w:rsidRPr="00291082">
        <w:rPr>
          <w:rFonts w:cs="Times New Roman"/>
          <w:szCs w:val="22"/>
          <w:lang w:val="es-ES_tradnl"/>
        </w:rPr>
        <w:t xml:space="preserve">Los </w:t>
      </w:r>
      <w:r w:rsidR="00F45538" w:rsidRPr="00291082">
        <w:rPr>
          <w:rFonts w:cs="Times New Roman"/>
          <w:szCs w:val="22"/>
          <w:lang w:val="es-ES_tradnl"/>
        </w:rPr>
        <w:t>SPGFS</w:t>
      </w:r>
      <w:r w:rsidRPr="00291082">
        <w:rPr>
          <w:rFonts w:cs="Times New Roman"/>
          <w:szCs w:val="22"/>
          <w:lang w:val="es-ES_tradnl"/>
        </w:rPr>
        <w:t xml:space="preserve"> deben incluir los siguientes componentes:</w:t>
      </w:r>
    </w:p>
    <w:p w14:paraId="4BC5ACC8" w14:textId="77777777" w:rsidR="00CB34A0" w:rsidRPr="00291082" w:rsidRDefault="00CB34A0" w:rsidP="00291082">
      <w:pPr>
        <w:numPr>
          <w:ilvl w:val="0"/>
          <w:numId w:val="26"/>
        </w:numPr>
        <w:spacing w:after="120"/>
        <w:jc w:val="both"/>
        <w:rPr>
          <w:rFonts w:eastAsia="Calibri"/>
          <w:sz w:val="24"/>
          <w:szCs w:val="22"/>
          <w:lang w:val="es-ES_tradnl" w:eastAsia="en-US"/>
        </w:rPr>
      </w:pPr>
      <w:r w:rsidRPr="00291082">
        <w:rPr>
          <w:rFonts w:eastAsia="Calibri"/>
          <w:sz w:val="24"/>
          <w:szCs w:val="22"/>
          <w:lang w:val="es-ES_tradnl" w:eastAsia="en-US"/>
        </w:rPr>
        <w:t>En la moneda del acuerdo de subvención</w:t>
      </w:r>
      <w:r w:rsidRPr="00291082">
        <w:rPr>
          <w:rFonts w:eastAsia="Calibri"/>
          <w:sz w:val="24"/>
          <w:szCs w:val="22"/>
          <w:vertAlign w:val="superscript"/>
          <w:lang w:val="es-ES_tradnl" w:eastAsia="en-US"/>
        </w:rPr>
        <w:footnoteReference w:id="3"/>
      </w:r>
      <w:r w:rsidRPr="00291082">
        <w:rPr>
          <w:rFonts w:eastAsia="Calibri"/>
          <w:sz w:val="24"/>
          <w:szCs w:val="22"/>
          <w:lang w:val="es-ES_tradnl" w:eastAsia="en-US"/>
        </w:rPr>
        <w:t>, un estado de ingresos y gastos que muestre los fondos recibidos del Fondo Mundial y cualquier otro ingreso, así como todos los gastos de subvención</w:t>
      </w:r>
      <w:r w:rsidRPr="00291082">
        <w:rPr>
          <w:rFonts w:eastAsia="Calibri"/>
          <w:sz w:val="24"/>
          <w:szCs w:val="22"/>
          <w:vertAlign w:val="superscript"/>
          <w:lang w:val="es-ES_tradnl" w:eastAsia="en-US"/>
        </w:rPr>
        <w:footnoteReference w:id="4"/>
      </w:r>
      <w:r w:rsidRPr="00291082">
        <w:rPr>
          <w:rFonts w:eastAsia="Calibri"/>
          <w:sz w:val="24"/>
          <w:szCs w:val="22"/>
          <w:lang w:val="es-ES_tradnl" w:eastAsia="en-US"/>
        </w:rPr>
        <w:t>. Los gastos de subvención deben reportarse con respecto al presupuesto en el formato añadido a las directrices;</w:t>
      </w:r>
    </w:p>
    <w:p w14:paraId="79824739" w14:textId="77777777" w:rsidR="00CB34A0" w:rsidRPr="00291082" w:rsidRDefault="00CB34A0" w:rsidP="00291082">
      <w:pPr>
        <w:numPr>
          <w:ilvl w:val="0"/>
          <w:numId w:val="26"/>
        </w:numPr>
        <w:spacing w:after="120"/>
        <w:jc w:val="both"/>
        <w:rPr>
          <w:rFonts w:eastAsia="MS Mincho"/>
          <w:noProof/>
          <w:sz w:val="24"/>
          <w:szCs w:val="22"/>
          <w:lang w:val="es-ES_tradnl" w:eastAsia="en-US"/>
        </w:rPr>
      </w:pPr>
      <w:r w:rsidRPr="00291082">
        <w:rPr>
          <w:rFonts w:eastAsia="Calibri"/>
          <w:sz w:val="24"/>
          <w:szCs w:val="22"/>
          <w:lang w:val="es-ES_tradnl" w:eastAsia="en-US"/>
        </w:rPr>
        <w:t xml:space="preserve">Cualesquiera otras notas pertinentes que incluyan, como mínimo, el desglose de lo siguiente [Para ser adaptado por el </w:t>
      </w:r>
      <w:r w:rsidRPr="00291082">
        <w:rPr>
          <w:rFonts w:eastAsia="MS Mincho"/>
          <w:i/>
          <w:noProof/>
          <w:sz w:val="24"/>
          <w:szCs w:val="22"/>
          <w:lang w:val="es-ES_tradnl" w:eastAsia="en-US"/>
        </w:rPr>
        <w:t>equipo de país / Receptor Principal cuando sea necesario]</w:t>
      </w:r>
      <w:r w:rsidRPr="00291082">
        <w:rPr>
          <w:rFonts w:eastAsia="MS Mincho"/>
          <w:i/>
          <w:noProof/>
          <w:sz w:val="24"/>
          <w:szCs w:val="22"/>
          <w:vertAlign w:val="superscript"/>
          <w:lang w:val="es-ES_tradnl" w:eastAsia="en-US"/>
        </w:rPr>
        <w:footnoteReference w:id="5"/>
      </w:r>
      <w:r w:rsidRPr="00291082">
        <w:rPr>
          <w:rFonts w:eastAsia="MS Mincho"/>
          <w:noProof/>
          <w:sz w:val="24"/>
          <w:szCs w:val="22"/>
          <w:lang w:val="es-ES_tradnl" w:eastAsia="en-US"/>
        </w:rPr>
        <w:t>:</w:t>
      </w:r>
    </w:p>
    <w:p w14:paraId="15F35C5B" w14:textId="77777777" w:rsidR="00CB34A0" w:rsidRPr="00291082" w:rsidRDefault="00CB34A0" w:rsidP="00291082">
      <w:pPr>
        <w:numPr>
          <w:ilvl w:val="0"/>
          <w:numId w:val="26"/>
        </w:numPr>
        <w:spacing w:after="120"/>
        <w:jc w:val="both"/>
        <w:rPr>
          <w:rFonts w:eastAsia="MS Mincho"/>
          <w:noProof/>
          <w:sz w:val="24"/>
          <w:szCs w:val="22"/>
          <w:lang w:val="es-ES_tradnl" w:eastAsia="en-US"/>
        </w:rPr>
      </w:pPr>
      <w:r w:rsidRPr="00291082">
        <w:rPr>
          <w:rFonts w:eastAsia="MS Mincho"/>
          <w:noProof/>
          <w:sz w:val="24"/>
          <w:szCs w:val="22"/>
          <w:lang w:val="es-ES_tradnl" w:eastAsia="en-US"/>
        </w:rPr>
        <w:t>Estados complementarios de los anticipos y el inmovilizado, incluidos:</w:t>
      </w:r>
      <w:r w:rsidRPr="00291082">
        <w:rPr>
          <w:rFonts w:eastAsia="MS Mincho"/>
          <w:sz w:val="24"/>
          <w:szCs w:val="22"/>
          <w:lang w:val="es-ES_tradnl" w:eastAsia="en-US"/>
        </w:rPr>
        <w:t xml:space="preserve"> </w:t>
      </w:r>
    </w:p>
    <w:p w14:paraId="342AD245" w14:textId="77777777" w:rsidR="00CB34A0" w:rsidRPr="00291082" w:rsidRDefault="00CB34A0" w:rsidP="00291082">
      <w:pPr>
        <w:numPr>
          <w:ilvl w:val="1"/>
          <w:numId w:val="25"/>
        </w:numPr>
        <w:spacing w:after="120"/>
        <w:jc w:val="both"/>
        <w:rPr>
          <w:rFonts w:eastAsia="Calibri"/>
          <w:sz w:val="24"/>
          <w:szCs w:val="22"/>
          <w:lang w:val="es-ES_tradnl" w:eastAsia="en-US"/>
        </w:rPr>
      </w:pPr>
      <w:r w:rsidRPr="00291082">
        <w:rPr>
          <w:rFonts w:eastAsia="Calibri"/>
          <w:sz w:val="24"/>
          <w:szCs w:val="22"/>
          <w:lang w:val="es-ES_tradnl" w:eastAsia="en-US"/>
        </w:rPr>
        <w:t xml:space="preserve">Un estado que muestre los anticipos del Subreceptor y la conciliación del monto total de los montos de subvención anticipados por el Receptor Principal a los </w:t>
      </w:r>
      <w:r w:rsidR="006A0A92" w:rsidRPr="00291082">
        <w:rPr>
          <w:rFonts w:eastAsia="Calibri"/>
          <w:sz w:val="24"/>
          <w:szCs w:val="22"/>
          <w:lang w:val="es-ES_tradnl" w:eastAsia="en-US"/>
        </w:rPr>
        <w:t>s</w:t>
      </w:r>
      <w:r w:rsidR="006A0A92" w:rsidRPr="00811088">
        <w:rPr>
          <w:rFonts w:eastAsia="Calibri"/>
          <w:sz w:val="24"/>
          <w:szCs w:val="22"/>
          <w:lang w:val="es-ES_tradnl" w:eastAsia="en-US"/>
        </w:rPr>
        <w:t>u</w:t>
      </w:r>
      <w:r w:rsidR="0057463E" w:rsidRPr="00811088">
        <w:rPr>
          <w:rFonts w:eastAsia="Calibri"/>
          <w:sz w:val="24"/>
          <w:szCs w:val="22"/>
          <w:lang w:val="es-ES_tradnl" w:eastAsia="en-US"/>
        </w:rPr>
        <w:t>b</w:t>
      </w:r>
      <w:r w:rsidR="006A0A92" w:rsidRPr="00811088">
        <w:rPr>
          <w:rFonts w:eastAsia="Calibri"/>
          <w:sz w:val="24"/>
          <w:szCs w:val="22"/>
          <w:lang w:val="es-ES_tradnl" w:eastAsia="en-US"/>
        </w:rPr>
        <w:t>rec</w:t>
      </w:r>
      <w:r w:rsidR="006A0A92" w:rsidRPr="00291082">
        <w:rPr>
          <w:rFonts w:eastAsia="Calibri"/>
          <w:sz w:val="24"/>
          <w:szCs w:val="22"/>
          <w:lang w:val="es-ES_tradnl" w:eastAsia="en-US"/>
        </w:rPr>
        <w:t>eptores</w:t>
      </w:r>
      <w:r w:rsidRPr="00291082">
        <w:rPr>
          <w:rFonts w:eastAsia="Calibri"/>
          <w:sz w:val="24"/>
          <w:szCs w:val="22"/>
          <w:lang w:val="es-ES_tradnl" w:eastAsia="en-US"/>
        </w:rPr>
        <w:t xml:space="preserve"> y el saldo de caja total con los gastos registrados del Subreceptor y los saldos de caja del Receptor Principal /Subreceptor al final del período de presentación de informes;</w:t>
      </w:r>
    </w:p>
    <w:p w14:paraId="69D17848" w14:textId="77777777" w:rsidR="00CB34A0" w:rsidRPr="00291082" w:rsidRDefault="00CB34A0" w:rsidP="00291082">
      <w:pPr>
        <w:numPr>
          <w:ilvl w:val="1"/>
          <w:numId w:val="25"/>
        </w:numPr>
        <w:spacing w:after="120"/>
        <w:jc w:val="both"/>
        <w:rPr>
          <w:rFonts w:eastAsia="Calibri"/>
          <w:sz w:val="24"/>
          <w:szCs w:val="22"/>
          <w:lang w:val="es-ES_tradnl"/>
        </w:rPr>
      </w:pPr>
      <w:r w:rsidRPr="00291082">
        <w:rPr>
          <w:rFonts w:eastAsia="Calibri"/>
          <w:sz w:val="24"/>
          <w:szCs w:val="22"/>
          <w:lang w:val="es-ES_tradnl"/>
        </w:rPr>
        <w:t>Un estado resumido de los activos que muestre los activos fijos adquiridos con fondos de subvención. Este estado resumido debe mostrar los activos que provienen de períodos previos (saldos de apertura) así como las adiciones, enajenaciones y cancelaciones del período auditado y el saldo de cierre</w:t>
      </w:r>
      <w:r w:rsidRPr="00291082">
        <w:rPr>
          <w:rFonts w:eastAsia="Calibri"/>
          <w:sz w:val="24"/>
          <w:szCs w:val="22"/>
          <w:vertAlign w:val="superscript"/>
          <w:lang w:val="es-ES_tradnl"/>
        </w:rPr>
        <w:footnoteReference w:id="6"/>
      </w:r>
      <w:r w:rsidRPr="00291082">
        <w:rPr>
          <w:rFonts w:eastAsia="Calibri"/>
          <w:sz w:val="24"/>
          <w:szCs w:val="22"/>
          <w:lang w:val="es-ES_tradnl"/>
        </w:rPr>
        <w:t>; y</w:t>
      </w:r>
    </w:p>
    <w:p w14:paraId="24004C7B" w14:textId="77777777" w:rsidR="00CB34A0" w:rsidRPr="00291082" w:rsidRDefault="00CB34A0" w:rsidP="00291082">
      <w:pPr>
        <w:numPr>
          <w:ilvl w:val="1"/>
          <w:numId w:val="25"/>
        </w:numPr>
        <w:spacing w:after="120"/>
        <w:jc w:val="both"/>
        <w:rPr>
          <w:rFonts w:eastAsia="Calibri"/>
          <w:sz w:val="24"/>
          <w:szCs w:val="22"/>
          <w:lang w:val="es-ES_tradnl"/>
        </w:rPr>
      </w:pPr>
      <w:r w:rsidRPr="00291082">
        <w:rPr>
          <w:rFonts w:eastAsia="Calibri"/>
          <w:sz w:val="24"/>
          <w:szCs w:val="22"/>
          <w:lang w:val="es-ES_tradnl"/>
        </w:rPr>
        <w:t>Las notas a los estados complementarios. Estas notas incluyen información que pueden ayudar al usuario a comprender mejor las declaraciones complementarias (supuestos significativos, estimaciones contables y revelaciones relacionadas, etc.) así como las informaciones necesarias sobre impuestos reembolsables</w:t>
      </w:r>
      <w:r w:rsidRPr="00291082">
        <w:rPr>
          <w:rFonts w:eastAsia="Calibri"/>
          <w:sz w:val="24"/>
          <w:szCs w:val="22"/>
          <w:vertAlign w:val="superscript"/>
          <w:lang w:val="es-ES_tradnl"/>
        </w:rPr>
        <w:footnoteReference w:id="7"/>
      </w:r>
      <w:r w:rsidRPr="00291082">
        <w:rPr>
          <w:rFonts w:eastAsia="Calibri"/>
          <w:sz w:val="24"/>
          <w:szCs w:val="22"/>
          <w:lang w:val="es-ES_tradnl"/>
        </w:rPr>
        <w:t>.</w:t>
      </w:r>
    </w:p>
    <w:p w14:paraId="3A82DADC" w14:textId="77777777" w:rsidR="004B5B1B" w:rsidRPr="00915460" w:rsidRDefault="00287532" w:rsidP="00915460">
      <w:pPr>
        <w:pStyle w:val="Heading1"/>
        <w:numPr>
          <w:ilvl w:val="0"/>
          <w:numId w:val="39"/>
        </w:numPr>
        <w:rPr>
          <w:snapToGrid w:val="0"/>
          <w:color w:val="auto"/>
          <w:lang w:val="es-ES_tradnl" w:eastAsia="es-ES"/>
        </w:rPr>
      </w:pPr>
      <w:bookmarkStart w:id="20" w:name="_Toc109287561"/>
      <w:r w:rsidRPr="00915460">
        <w:rPr>
          <w:snapToGrid w:val="0"/>
          <w:color w:val="auto"/>
          <w:lang w:val="es-ES_tradnl" w:eastAsia="es-ES"/>
        </w:rPr>
        <w:t>Documentos e i</w:t>
      </w:r>
      <w:r w:rsidR="004B5B1B" w:rsidRPr="00915460">
        <w:rPr>
          <w:snapToGrid w:val="0"/>
          <w:color w:val="auto"/>
          <w:lang w:val="es-ES_tradnl" w:eastAsia="es-ES"/>
        </w:rPr>
        <w:t>nstalaciones disponibles</w:t>
      </w:r>
      <w:bookmarkEnd w:id="20"/>
      <w:r w:rsidR="004B5B1B" w:rsidRPr="00915460">
        <w:rPr>
          <w:snapToGrid w:val="0"/>
          <w:color w:val="auto"/>
          <w:lang w:val="es-ES_tradnl" w:eastAsia="es-ES"/>
        </w:rPr>
        <w:t xml:space="preserve"> </w:t>
      </w:r>
      <w:r w:rsidR="005A23EB" w:rsidRPr="00915460">
        <w:rPr>
          <w:snapToGrid w:val="0"/>
          <w:color w:val="auto"/>
          <w:lang w:val="es-ES_tradnl" w:eastAsia="es-ES"/>
        </w:rPr>
        <w:t xml:space="preserve"> </w:t>
      </w:r>
    </w:p>
    <w:p w14:paraId="4912EB09" w14:textId="77777777" w:rsidR="00915460" w:rsidRDefault="00915460" w:rsidP="00291082">
      <w:pPr>
        <w:spacing w:after="120"/>
        <w:jc w:val="both"/>
        <w:rPr>
          <w:snapToGrid w:val="0"/>
          <w:sz w:val="24"/>
          <w:szCs w:val="22"/>
          <w:lang w:val="es-ES_tradnl" w:eastAsia="es-ES"/>
        </w:rPr>
      </w:pPr>
    </w:p>
    <w:p w14:paraId="75CF8C30" w14:textId="202DC0CA" w:rsidR="004B5B1B" w:rsidRDefault="00CB34A0" w:rsidP="00291082">
      <w:pPr>
        <w:spacing w:after="120"/>
        <w:jc w:val="both"/>
        <w:rPr>
          <w:snapToGrid w:val="0"/>
          <w:sz w:val="24"/>
          <w:szCs w:val="22"/>
          <w:lang w:val="es-ES_tradnl" w:eastAsia="es-ES"/>
        </w:rPr>
      </w:pPr>
      <w:r w:rsidRPr="00291082">
        <w:rPr>
          <w:snapToGrid w:val="0"/>
          <w:sz w:val="24"/>
          <w:szCs w:val="22"/>
          <w:lang w:val="es-ES_tradnl" w:eastAsia="es-ES"/>
        </w:rPr>
        <w:t>Con respecto a cada subvención e</w:t>
      </w:r>
      <w:r w:rsidR="004B5B1B" w:rsidRPr="00291082">
        <w:rPr>
          <w:snapToGrid w:val="0"/>
          <w:sz w:val="24"/>
          <w:szCs w:val="22"/>
          <w:lang w:val="es-ES_tradnl" w:eastAsia="es-ES"/>
        </w:rPr>
        <w:t xml:space="preserve">l </w:t>
      </w:r>
      <w:r w:rsidR="007C3638" w:rsidRPr="00291082">
        <w:rPr>
          <w:snapToGrid w:val="0"/>
          <w:sz w:val="24"/>
          <w:szCs w:val="22"/>
          <w:lang w:val="es-ES_tradnl" w:eastAsia="es-ES"/>
        </w:rPr>
        <w:t>R</w:t>
      </w:r>
      <w:r w:rsidR="009B5124" w:rsidRPr="00291082">
        <w:rPr>
          <w:snapToGrid w:val="0"/>
          <w:sz w:val="24"/>
          <w:szCs w:val="22"/>
          <w:lang w:val="es-ES_tradnl" w:eastAsia="es-ES"/>
        </w:rPr>
        <w:t xml:space="preserve">eceptor </w:t>
      </w:r>
      <w:r w:rsidR="007C3638" w:rsidRPr="00291082">
        <w:rPr>
          <w:snapToGrid w:val="0"/>
          <w:sz w:val="24"/>
          <w:szCs w:val="22"/>
          <w:lang w:val="es-ES_tradnl" w:eastAsia="es-ES"/>
        </w:rPr>
        <w:t>P</w:t>
      </w:r>
      <w:r w:rsidR="009B5124" w:rsidRPr="00291082">
        <w:rPr>
          <w:snapToGrid w:val="0"/>
          <w:sz w:val="24"/>
          <w:szCs w:val="22"/>
          <w:lang w:val="es-ES_tradnl" w:eastAsia="es-ES"/>
        </w:rPr>
        <w:t xml:space="preserve">rincipal </w:t>
      </w:r>
      <w:r w:rsidRPr="00291082">
        <w:rPr>
          <w:snapToGrid w:val="0"/>
          <w:sz w:val="24"/>
          <w:szCs w:val="22"/>
          <w:lang w:val="es-ES_tradnl" w:eastAsia="es-ES"/>
        </w:rPr>
        <w:t>facilitará</w:t>
      </w:r>
      <w:r w:rsidR="004B5B1B" w:rsidRPr="00291082">
        <w:rPr>
          <w:snapToGrid w:val="0"/>
          <w:sz w:val="24"/>
          <w:szCs w:val="22"/>
          <w:lang w:val="es-ES_tradnl" w:eastAsia="es-ES"/>
        </w:rPr>
        <w:t xml:space="preserve"> al auditor </w:t>
      </w:r>
      <w:r w:rsidRPr="00291082">
        <w:rPr>
          <w:snapToGrid w:val="0"/>
          <w:sz w:val="24"/>
          <w:szCs w:val="22"/>
          <w:lang w:val="es-ES_tradnl" w:eastAsia="es-ES"/>
        </w:rPr>
        <w:t xml:space="preserve">el </w:t>
      </w:r>
      <w:r w:rsidR="004B5B1B" w:rsidRPr="00291082">
        <w:rPr>
          <w:snapToGrid w:val="0"/>
          <w:sz w:val="24"/>
          <w:szCs w:val="22"/>
          <w:lang w:val="es-ES_tradnl" w:eastAsia="es-ES"/>
        </w:rPr>
        <w:t xml:space="preserve">acceso a todos los libros y registros relativos a la </w:t>
      </w:r>
      <w:r w:rsidR="00B956CC" w:rsidRPr="00291082">
        <w:rPr>
          <w:snapToGrid w:val="0"/>
          <w:sz w:val="24"/>
          <w:szCs w:val="22"/>
          <w:lang w:val="es-ES_tradnl" w:eastAsia="es-ES"/>
        </w:rPr>
        <w:t>subvención</w:t>
      </w:r>
      <w:r w:rsidR="004B5B1B" w:rsidRPr="00291082">
        <w:rPr>
          <w:snapToGrid w:val="0"/>
          <w:sz w:val="24"/>
          <w:szCs w:val="22"/>
          <w:lang w:val="es-ES_tradnl" w:eastAsia="es-ES"/>
        </w:rPr>
        <w:t xml:space="preserve"> </w:t>
      </w:r>
      <w:r w:rsidR="00813203" w:rsidRPr="00291082">
        <w:rPr>
          <w:snapToGrid w:val="0"/>
          <w:sz w:val="24"/>
          <w:szCs w:val="22"/>
          <w:lang w:val="es-ES_tradnl" w:eastAsia="es-ES"/>
        </w:rPr>
        <w:t xml:space="preserve">de acuerdo a lo que </w:t>
      </w:r>
      <w:r w:rsidR="004B5B1B" w:rsidRPr="00291082">
        <w:rPr>
          <w:snapToGrid w:val="0"/>
          <w:sz w:val="24"/>
          <w:szCs w:val="22"/>
          <w:lang w:val="es-ES_tradnl" w:eastAsia="es-ES"/>
        </w:rPr>
        <w:t>el auditor</w:t>
      </w:r>
      <w:r w:rsidR="00813203" w:rsidRPr="00291082">
        <w:rPr>
          <w:snapToGrid w:val="0"/>
          <w:sz w:val="24"/>
          <w:szCs w:val="22"/>
          <w:lang w:val="es-ES_tradnl" w:eastAsia="es-ES"/>
        </w:rPr>
        <w:t xml:space="preserve"> solicite</w:t>
      </w:r>
      <w:r w:rsidR="004B5B1B" w:rsidRPr="00291082">
        <w:rPr>
          <w:snapToGrid w:val="0"/>
          <w:sz w:val="24"/>
          <w:szCs w:val="22"/>
          <w:lang w:val="es-ES_tradnl" w:eastAsia="es-ES"/>
        </w:rPr>
        <w:t xml:space="preserve">, incluida una lista de </w:t>
      </w:r>
      <w:r w:rsidR="00813203" w:rsidRPr="00291082">
        <w:rPr>
          <w:snapToGrid w:val="0"/>
          <w:sz w:val="24"/>
          <w:szCs w:val="22"/>
          <w:lang w:val="es-ES_tradnl" w:eastAsia="es-ES"/>
        </w:rPr>
        <w:t xml:space="preserve">la localización de todos </w:t>
      </w:r>
      <w:r w:rsidR="00200BE0" w:rsidRPr="00291082">
        <w:rPr>
          <w:snapToGrid w:val="0"/>
          <w:sz w:val="24"/>
          <w:szCs w:val="22"/>
          <w:lang w:val="es-ES_tradnl" w:eastAsia="es-ES"/>
        </w:rPr>
        <w:t>los</w:t>
      </w:r>
      <w:r w:rsidR="004B5B1B" w:rsidRPr="00291082">
        <w:rPr>
          <w:snapToGrid w:val="0"/>
          <w:sz w:val="24"/>
          <w:szCs w:val="22"/>
          <w:lang w:val="es-ES_tradnl" w:eastAsia="es-ES"/>
        </w:rPr>
        <w:t xml:space="preserve"> S</w:t>
      </w:r>
      <w:r w:rsidR="00200BE0" w:rsidRPr="00291082">
        <w:rPr>
          <w:snapToGrid w:val="0"/>
          <w:sz w:val="24"/>
          <w:szCs w:val="22"/>
          <w:lang w:val="es-ES_tradnl" w:eastAsia="es-ES"/>
        </w:rPr>
        <w:t xml:space="preserve">ub </w:t>
      </w:r>
      <w:r w:rsidR="004B5B1B" w:rsidRPr="00291082">
        <w:rPr>
          <w:snapToGrid w:val="0"/>
          <w:sz w:val="24"/>
          <w:szCs w:val="22"/>
          <w:lang w:val="es-ES_tradnl" w:eastAsia="es-ES"/>
        </w:rPr>
        <w:t>R</w:t>
      </w:r>
      <w:r w:rsidR="00200BE0" w:rsidRPr="00291082">
        <w:rPr>
          <w:snapToGrid w:val="0"/>
          <w:sz w:val="24"/>
          <w:szCs w:val="22"/>
          <w:lang w:val="es-ES_tradnl" w:eastAsia="es-ES"/>
        </w:rPr>
        <w:t>eceptores</w:t>
      </w:r>
      <w:r w:rsidR="004B5B1B" w:rsidRPr="00291082">
        <w:rPr>
          <w:snapToGrid w:val="0"/>
          <w:sz w:val="24"/>
          <w:szCs w:val="22"/>
          <w:lang w:val="es-ES_tradnl" w:eastAsia="es-ES"/>
        </w:rPr>
        <w:t xml:space="preserve">, </w:t>
      </w:r>
      <w:r w:rsidR="00813203" w:rsidRPr="00291082">
        <w:rPr>
          <w:snapToGrid w:val="0"/>
          <w:sz w:val="24"/>
          <w:szCs w:val="22"/>
          <w:lang w:val="es-ES_tradnl" w:eastAsia="es-ES"/>
        </w:rPr>
        <w:t>señalando</w:t>
      </w:r>
      <w:r w:rsidR="004B5B1B" w:rsidRPr="00291082">
        <w:rPr>
          <w:snapToGrid w:val="0"/>
          <w:sz w:val="24"/>
          <w:szCs w:val="22"/>
          <w:lang w:val="es-ES_tradnl" w:eastAsia="es-ES"/>
        </w:rPr>
        <w:t xml:space="preserve"> los documentos </w:t>
      </w:r>
      <w:r w:rsidR="00C165E6">
        <w:rPr>
          <w:snapToGrid w:val="0"/>
          <w:sz w:val="24"/>
          <w:szCs w:val="22"/>
          <w:lang w:val="es-ES_tradnl" w:eastAsia="es-ES"/>
        </w:rPr>
        <w:t>que se encuentran</w:t>
      </w:r>
      <w:r w:rsidR="004B5B1B" w:rsidRPr="00291082">
        <w:rPr>
          <w:snapToGrid w:val="0"/>
          <w:sz w:val="24"/>
          <w:szCs w:val="22"/>
          <w:lang w:val="es-ES_tradnl" w:eastAsia="es-ES"/>
        </w:rPr>
        <w:t xml:space="preserve"> en cada </w:t>
      </w:r>
      <w:r w:rsidR="00C165E6">
        <w:rPr>
          <w:snapToGrid w:val="0"/>
          <w:sz w:val="24"/>
          <w:szCs w:val="22"/>
          <w:lang w:val="es-ES_tradnl" w:eastAsia="es-ES"/>
        </w:rPr>
        <w:t>ubica</w:t>
      </w:r>
      <w:r w:rsidR="004B5B1B" w:rsidRPr="00291082">
        <w:rPr>
          <w:snapToGrid w:val="0"/>
          <w:sz w:val="24"/>
          <w:szCs w:val="22"/>
          <w:lang w:val="es-ES_tradnl" w:eastAsia="es-ES"/>
        </w:rPr>
        <w:t>ción.</w:t>
      </w:r>
      <w:r w:rsidR="00397362">
        <w:rPr>
          <w:snapToGrid w:val="0"/>
          <w:sz w:val="24"/>
          <w:szCs w:val="22"/>
          <w:lang w:val="es-ES_tradnl" w:eastAsia="es-ES"/>
        </w:rPr>
        <w:t xml:space="preserve"> </w:t>
      </w:r>
      <w:r w:rsidR="00C165E6">
        <w:rPr>
          <w:snapToGrid w:val="0"/>
          <w:sz w:val="24"/>
          <w:szCs w:val="22"/>
          <w:lang w:val="es-ES_tradnl" w:eastAsia="es-ES"/>
        </w:rPr>
        <w:t xml:space="preserve">A </w:t>
      </w:r>
      <w:r w:rsidR="00811088">
        <w:rPr>
          <w:snapToGrid w:val="0"/>
          <w:sz w:val="24"/>
          <w:szCs w:val="22"/>
          <w:lang w:val="es-ES_tradnl" w:eastAsia="es-ES"/>
        </w:rPr>
        <w:t>continuación,</w:t>
      </w:r>
      <w:r w:rsidR="00C165E6">
        <w:rPr>
          <w:snapToGrid w:val="0"/>
          <w:sz w:val="24"/>
          <w:szCs w:val="22"/>
          <w:lang w:val="es-ES_tradnl" w:eastAsia="es-ES"/>
        </w:rPr>
        <w:t xml:space="preserve"> se ofrece a título ilustrativo u</w:t>
      </w:r>
      <w:r w:rsidR="004B5B1B" w:rsidRPr="00291082">
        <w:rPr>
          <w:snapToGrid w:val="0"/>
          <w:sz w:val="24"/>
          <w:szCs w:val="22"/>
          <w:lang w:val="es-ES_tradnl" w:eastAsia="es-ES"/>
        </w:rPr>
        <w:t>na lista de los documentos que puede</w:t>
      </w:r>
      <w:r w:rsidR="00C165E6">
        <w:rPr>
          <w:snapToGrid w:val="0"/>
          <w:sz w:val="24"/>
          <w:szCs w:val="22"/>
          <w:lang w:val="es-ES_tradnl" w:eastAsia="es-ES"/>
        </w:rPr>
        <w:t xml:space="preserve"> solicitar el </w:t>
      </w:r>
      <w:r w:rsidR="004B5B1B" w:rsidRPr="00291082">
        <w:rPr>
          <w:snapToGrid w:val="0"/>
          <w:sz w:val="24"/>
          <w:szCs w:val="22"/>
          <w:lang w:val="es-ES_tradnl" w:eastAsia="es-ES"/>
        </w:rPr>
        <w:t xml:space="preserve">auditor: </w:t>
      </w:r>
    </w:p>
    <w:p w14:paraId="3641F810" w14:textId="77777777" w:rsidR="00283530" w:rsidRPr="00291082" w:rsidRDefault="00283530" w:rsidP="00291082">
      <w:pPr>
        <w:spacing w:after="120"/>
        <w:jc w:val="both"/>
        <w:rPr>
          <w:snapToGrid w:val="0"/>
          <w:sz w:val="24"/>
          <w:szCs w:val="22"/>
          <w:lang w:val="es-ES_tradnl" w:eastAsia="es-ES"/>
        </w:rPr>
      </w:pPr>
    </w:p>
    <w:p w14:paraId="1BD64393"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Los estados financieros del programa de la subvención;</w:t>
      </w:r>
    </w:p>
    <w:p w14:paraId="05EB1601"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Los acuerdos de subvención y sub-subvención, incluidos los presupuestos detallados;</w:t>
      </w:r>
    </w:p>
    <w:p w14:paraId="26B7CF4D"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Los principales calendarios justificativos de los estados financieros que incluyan: registros de ingresos y gastos, activos y pasivos y efectivo;</w:t>
      </w:r>
    </w:p>
    <w:p w14:paraId="74987384"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Los informes provisionales mensuales o trimestrales de las actividades de subvención, según corresponda (tanto programáticas como financieras);</w:t>
      </w:r>
    </w:p>
    <w:p w14:paraId="17949826"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El libro mayor, el libro de caja y otros libros y registros importantes conservados a nivel del Receptor Principal o del Subreceptor;</w:t>
      </w:r>
    </w:p>
    <w:p w14:paraId="3A9DB3C2"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La documentación original justificativa de todos los gastos registrados (facturas, justificación de todas las adquisiciones de productos sanitarios u otras adquisiciones que requieran procesos de licitación, nóminas, comprobantes bancarios, comprobantes del libro diario, etc.) conservados a nivel del Receptor Principal o del Subreceptor;</w:t>
      </w:r>
    </w:p>
    <w:p w14:paraId="4F05FE08"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Los extractos bancarios;</w:t>
      </w:r>
    </w:p>
    <w:p w14:paraId="33EF499B"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 xml:space="preserve">La correspondencia importante entre el Fondo Mundial y el Receptor Principal, el Receptor Principal y los </w:t>
      </w:r>
      <w:r w:rsidR="006A0A92">
        <w:rPr>
          <w:rFonts w:eastAsia="Calibri"/>
          <w:sz w:val="24"/>
          <w:szCs w:val="22"/>
          <w:lang w:val="es-ES_tradnl" w:eastAsia="en-US"/>
        </w:rPr>
        <w:t>sub</w:t>
      </w:r>
      <w:r w:rsidR="006A0A92" w:rsidRPr="00291082">
        <w:rPr>
          <w:rFonts w:eastAsia="Calibri"/>
          <w:sz w:val="24"/>
          <w:szCs w:val="22"/>
          <w:lang w:val="es-ES_tradnl" w:eastAsia="en-US"/>
        </w:rPr>
        <w:t>receptores</w:t>
      </w:r>
      <w:r w:rsidRPr="00291082">
        <w:rPr>
          <w:rFonts w:eastAsia="Calibri"/>
          <w:sz w:val="24"/>
          <w:szCs w:val="22"/>
          <w:lang w:val="es-ES_tradnl" w:eastAsia="en-US"/>
        </w:rPr>
        <w:t xml:space="preserve"> relativa a cuestiones pertinentes a la ejecución de la subvención;</w:t>
      </w:r>
    </w:p>
    <w:p w14:paraId="7DE78AD5"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 xml:space="preserve">Los manuales de procedimientos financieros, descripciones de sistemas o cualquier otra documentación que explique los procesos que contribuyen a la elaboración de informes financieros fiables y mantengan el control interno, ya sea a nivel del Receptor Principal o de los </w:t>
      </w:r>
      <w:r w:rsidR="006A0A92">
        <w:rPr>
          <w:rFonts w:eastAsia="Calibri"/>
          <w:sz w:val="24"/>
          <w:szCs w:val="22"/>
          <w:lang w:val="es-ES_tradnl" w:eastAsia="en-US"/>
        </w:rPr>
        <w:t>sub</w:t>
      </w:r>
      <w:r w:rsidR="006A0A92" w:rsidRPr="00291082">
        <w:rPr>
          <w:rFonts w:eastAsia="Calibri"/>
          <w:sz w:val="24"/>
          <w:szCs w:val="22"/>
          <w:lang w:val="es-ES_tradnl" w:eastAsia="en-US"/>
        </w:rPr>
        <w:t>receptores</w:t>
      </w:r>
      <w:r w:rsidRPr="00291082">
        <w:rPr>
          <w:rFonts w:eastAsia="Calibri"/>
          <w:sz w:val="24"/>
          <w:szCs w:val="22"/>
          <w:lang w:val="es-ES_tradnl" w:eastAsia="en-US"/>
        </w:rPr>
        <w:t>;</w:t>
      </w:r>
    </w:p>
    <w:p w14:paraId="36C6112E" w14:textId="77777777" w:rsidR="0060782C" w:rsidRPr="00291082" w:rsidRDefault="0060782C" w:rsidP="00291082">
      <w:pPr>
        <w:numPr>
          <w:ilvl w:val="0"/>
          <w:numId w:val="27"/>
        </w:numPr>
        <w:spacing w:after="120"/>
        <w:jc w:val="both"/>
        <w:rPr>
          <w:rFonts w:eastAsia="Calibri"/>
          <w:sz w:val="24"/>
          <w:szCs w:val="22"/>
          <w:lang w:val="es-ES_tradnl" w:eastAsia="en-US"/>
        </w:rPr>
      </w:pPr>
      <w:r w:rsidRPr="00291082">
        <w:rPr>
          <w:rFonts w:eastAsia="Calibri"/>
          <w:sz w:val="24"/>
          <w:szCs w:val="22"/>
          <w:lang w:val="es-ES_tradnl" w:eastAsia="en-US"/>
        </w:rPr>
        <w:t>Las actas de las reuniones de la gerencia;</w:t>
      </w:r>
    </w:p>
    <w:p w14:paraId="678DD8AA" w14:textId="77777777" w:rsidR="00A12D4D" w:rsidRPr="00291082" w:rsidRDefault="0060782C" w:rsidP="00291082">
      <w:pPr>
        <w:pStyle w:val="ListParagraph"/>
        <w:numPr>
          <w:ilvl w:val="0"/>
          <w:numId w:val="27"/>
        </w:numPr>
        <w:spacing w:after="120"/>
        <w:jc w:val="both"/>
        <w:rPr>
          <w:snapToGrid w:val="0"/>
          <w:sz w:val="24"/>
          <w:lang w:val="es-ES_tradnl" w:eastAsia="es-ES"/>
        </w:rPr>
      </w:pPr>
      <w:r w:rsidRPr="00291082">
        <w:rPr>
          <w:rFonts w:eastAsia="Calibri"/>
          <w:sz w:val="24"/>
          <w:lang w:val="es-ES_tradnl" w:eastAsia="en-US"/>
        </w:rPr>
        <w:t>Los informes de auditoría internos relacionados con gastos del Fondo Mundial u otros sistemas, la gobernanza u otros aspectos que afecten a las subvenciones del Fondo Mundial</w:t>
      </w:r>
      <w:r w:rsidR="00A12D4D" w:rsidRPr="00291082">
        <w:rPr>
          <w:rFonts w:eastAsia="Calibri"/>
          <w:sz w:val="24"/>
          <w:lang w:val="es-ES_tradnl" w:eastAsia="en-US"/>
        </w:rPr>
        <w:t>.</w:t>
      </w:r>
      <w:bookmarkStart w:id="21" w:name="_Toc49506737"/>
      <w:bookmarkStart w:id="22" w:name="_Toc5026416"/>
      <w:bookmarkStart w:id="23" w:name="_Toc19971615"/>
      <w:bookmarkStart w:id="24" w:name="_Toc19971781"/>
      <w:bookmarkStart w:id="25" w:name="_Toc19971947"/>
      <w:bookmarkStart w:id="26" w:name="_Toc19972113"/>
      <w:bookmarkStart w:id="27" w:name="_Toc19972279"/>
      <w:bookmarkStart w:id="28" w:name="_Toc19972445"/>
      <w:bookmarkStart w:id="29" w:name="_Toc20466639"/>
    </w:p>
    <w:p w14:paraId="47BDF27C" w14:textId="77777777" w:rsidR="00A12D4D" w:rsidRPr="00915460" w:rsidRDefault="00A12D4D" w:rsidP="00915460">
      <w:pPr>
        <w:pStyle w:val="Heading1"/>
        <w:numPr>
          <w:ilvl w:val="0"/>
          <w:numId w:val="39"/>
        </w:numPr>
        <w:rPr>
          <w:snapToGrid w:val="0"/>
          <w:color w:val="auto"/>
          <w:lang w:val="es-ES_tradnl" w:eastAsia="es-ES"/>
        </w:rPr>
      </w:pPr>
      <w:bookmarkStart w:id="30" w:name="_Toc109287562"/>
      <w:r w:rsidRPr="00915460">
        <w:rPr>
          <w:snapToGrid w:val="0"/>
          <w:color w:val="auto"/>
          <w:lang w:val="es-ES_tradnl" w:eastAsia="es-ES"/>
        </w:rPr>
        <w:t>Alcance del trabajo de auditoría</w:t>
      </w:r>
      <w:bookmarkEnd w:id="21"/>
      <w:bookmarkEnd w:id="30"/>
      <w:r w:rsidRPr="00915460">
        <w:rPr>
          <w:snapToGrid w:val="0"/>
          <w:color w:val="auto"/>
          <w:lang w:val="es-ES_tradnl" w:eastAsia="es-ES"/>
        </w:rPr>
        <w:t xml:space="preserve"> </w:t>
      </w:r>
      <w:bookmarkEnd w:id="22"/>
      <w:bookmarkEnd w:id="23"/>
      <w:bookmarkEnd w:id="24"/>
      <w:bookmarkEnd w:id="25"/>
      <w:bookmarkEnd w:id="26"/>
      <w:bookmarkEnd w:id="27"/>
      <w:bookmarkEnd w:id="28"/>
      <w:bookmarkEnd w:id="29"/>
    </w:p>
    <w:p w14:paraId="5D0C5B22" w14:textId="77777777" w:rsidR="00915460" w:rsidRDefault="00915460" w:rsidP="00291082">
      <w:pPr>
        <w:spacing w:after="120"/>
        <w:jc w:val="both"/>
        <w:rPr>
          <w:rFonts w:eastAsia="Calibri"/>
          <w:noProof/>
          <w:sz w:val="24"/>
          <w:lang w:val="es-ES_tradnl" w:eastAsia="en-US"/>
        </w:rPr>
      </w:pPr>
    </w:p>
    <w:p w14:paraId="3E110A42" w14:textId="77777777" w:rsidR="00A12D4D" w:rsidRPr="00291082" w:rsidRDefault="00A12D4D" w:rsidP="00291082">
      <w:pPr>
        <w:spacing w:after="120"/>
        <w:jc w:val="both"/>
        <w:rPr>
          <w:rFonts w:eastAsia="Calibri"/>
          <w:noProof/>
          <w:sz w:val="24"/>
          <w:lang w:val="es-ES_tradnl" w:eastAsia="en-US"/>
        </w:rPr>
      </w:pPr>
      <w:r w:rsidRPr="00291082">
        <w:rPr>
          <w:rFonts w:eastAsia="Calibri"/>
          <w:noProof/>
          <w:sz w:val="24"/>
          <w:lang w:val="es-ES_tradnl" w:eastAsia="en-US"/>
        </w:rPr>
        <w:t xml:space="preserve">La auditoría debe realizarse con arreglo a las Normas Internacionales de Auditoría (ISA) o a las Normas intenacionales de las Instituciones de Auditoría Superior   (ISSAIs) e incluirán aquellos controles y pruebas que el auditor considere necesarios según las circunstancias vigentes. </w:t>
      </w:r>
    </w:p>
    <w:p w14:paraId="2EC356D3" w14:textId="77777777" w:rsidR="00A12D4D" w:rsidRPr="00291082" w:rsidRDefault="00A12D4D" w:rsidP="00291082">
      <w:pPr>
        <w:spacing w:after="120"/>
        <w:ind w:right="26"/>
        <w:jc w:val="both"/>
        <w:rPr>
          <w:rFonts w:eastAsia="Calibri"/>
          <w:sz w:val="24"/>
          <w:lang w:val="es-ES_tradnl" w:eastAsia="en-US"/>
        </w:rPr>
      </w:pPr>
      <w:r w:rsidRPr="00291082">
        <w:rPr>
          <w:rFonts w:eastAsia="Calibri"/>
          <w:noProof/>
          <w:sz w:val="24"/>
          <w:lang w:val="es-ES_tradnl" w:eastAsia="en-US"/>
        </w:rPr>
        <w:t xml:space="preserve">Como parte del informe integral de auditoría, el auditor debe informar </w:t>
      </w:r>
      <w:r w:rsidRPr="00811088">
        <w:rPr>
          <w:rFonts w:eastAsia="Calibri"/>
          <w:noProof/>
          <w:sz w:val="24"/>
          <w:lang w:val="es-ES_tradnl" w:eastAsia="en-US"/>
        </w:rPr>
        <w:t>sobre</w:t>
      </w:r>
      <w:r w:rsidR="00EF25A4" w:rsidRPr="00811088">
        <w:rPr>
          <w:rFonts w:eastAsia="Calibri"/>
          <w:noProof/>
          <w:sz w:val="24"/>
          <w:lang w:val="es-ES_tradnl" w:eastAsia="en-US"/>
        </w:rPr>
        <w:t xml:space="preserve"> las cuestiones de auditoría clave del año de notificación, así como sobre los</w:t>
      </w:r>
      <w:r w:rsidRPr="00811088">
        <w:rPr>
          <w:rFonts w:eastAsia="Calibri"/>
          <w:noProof/>
          <w:sz w:val="24"/>
          <w:lang w:val="es-ES_tradnl" w:eastAsia="en-US"/>
        </w:rPr>
        <w:t xml:space="preserve"> siguientes aspectos:</w:t>
      </w:r>
      <w:r w:rsidRPr="00291082">
        <w:rPr>
          <w:rFonts w:eastAsia="Calibri"/>
          <w:sz w:val="24"/>
          <w:lang w:val="es-ES_tradnl" w:eastAsia="en-US"/>
        </w:rPr>
        <w:t xml:space="preserve"> </w:t>
      </w:r>
    </w:p>
    <w:p w14:paraId="16E6B61F" w14:textId="77777777" w:rsidR="00A12D4D" w:rsidRPr="00291082" w:rsidRDefault="00A12D4D" w:rsidP="00915460">
      <w:pPr>
        <w:numPr>
          <w:ilvl w:val="0"/>
          <w:numId w:val="28"/>
        </w:numPr>
        <w:spacing w:after="120"/>
        <w:ind w:left="567"/>
        <w:jc w:val="both"/>
        <w:rPr>
          <w:rFonts w:eastAsia="Calibri"/>
          <w:sz w:val="24"/>
          <w:szCs w:val="22"/>
          <w:lang w:val="es-ES_tradnl" w:eastAsia="en-US"/>
        </w:rPr>
      </w:pPr>
      <w:r w:rsidRPr="00291082">
        <w:rPr>
          <w:rFonts w:eastAsia="Calibri"/>
          <w:b/>
          <w:noProof/>
          <w:sz w:val="24"/>
          <w:szCs w:val="22"/>
          <w:lang w:val="es-ES_tradnl" w:eastAsia="en-US"/>
        </w:rPr>
        <w:t>Cumplimiento de la legislación vigente:</w:t>
      </w:r>
      <w:r w:rsidRPr="00291082">
        <w:rPr>
          <w:rFonts w:eastAsia="Calibri"/>
          <w:noProof/>
          <w:sz w:val="24"/>
          <w:szCs w:val="22"/>
          <w:lang w:val="es-ES_tradnl" w:eastAsia="en-US"/>
        </w:rPr>
        <w:t xml:space="preserve"> verificar que todas las transacciones cumplen en todos los aspectos sustanciales con cualquier legislación vigente;</w:t>
      </w:r>
    </w:p>
    <w:p w14:paraId="2BE57218" w14:textId="77777777" w:rsidR="00A12D4D" w:rsidRPr="00291082" w:rsidRDefault="00A12D4D" w:rsidP="00915460">
      <w:pPr>
        <w:numPr>
          <w:ilvl w:val="0"/>
          <w:numId w:val="28"/>
        </w:numPr>
        <w:spacing w:after="120"/>
        <w:ind w:left="567"/>
        <w:jc w:val="both"/>
        <w:rPr>
          <w:rFonts w:eastAsia="Calibri"/>
          <w:sz w:val="24"/>
          <w:szCs w:val="22"/>
          <w:lang w:val="es-ES_tradnl" w:eastAsia="en-US"/>
        </w:rPr>
      </w:pPr>
      <w:r w:rsidRPr="00291082">
        <w:rPr>
          <w:rFonts w:eastAsia="MS Mincho"/>
          <w:b/>
          <w:i/>
          <w:sz w:val="24"/>
          <w:szCs w:val="22"/>
          <w:lang w:val="es-ES_tradnl" w:eastAsia="en-US"/>
        </w:rPr>
        <w:t>Conciliación del libro mayor con los estados financieros de propósito especial de la subvención (SPGFS):</w:t>
      </w:r>
      <w:r w:rsidRPr="00291082">
        <w:rPr>
          <w:rFonts w:eastAsia="MS Mincho"/>
          <w:sz w:val="24"/>
          <w:szCs w:val="22"/>
          <w:lang w:val="es-ES_tradnl" w:eastAsia="en-US"/>
        </w:rPr>
        <w:t xml:space="preserve"> revisión de los libros mayor y de programas con el fin de determinar si los costos incurridos se registraron correctamente asegurando que los costos con cargo a la subvención </w:t>
      </w:r>
      <w:r w:rsidRPr="00291082">
        <w:rPr>
          <w:rFonts w:eastAsia="MS Mincho"/>
          <w:noProof/>
          <w:sz w:val="24"/>
          <w:szCs w:val="22"/>
          <w:lang w:val="es-ES_tradnl" w:eastAsia="en-US"/>
        </w:rPr>
        <w:t xml:space="preserve">concilien con </w:t>
      </w:r>
      <w:r w:rsidRPr="00291082">
        <w:rPr>
          <w:rFonts w:eastAsia="MS Mincho"/>
          <w:sz w:val="24"/>
          <w:szCs w:val="22"/>
          <w:lang w:val="es-ES_tradnl" w:eastAsia="en-US"/>
        </w:rPr>
        <w:t xml:space="preserve">los libros mayor y de programas. Conciliación de los SPGFS con los registros subyacentes, principalmente el libro de caja. </w:t>
      </w:r>
    </w:p>
    <w:p w14:paraId="1C56CA5A" w14:textId="77777777" w:rsidR="00A96C7F" w:rsidRPr="00811088" w:rsidRDefault="00A12D4D" w:rsidP="00A96C7F">
      <w:pPr>
        <w:pStyle w:val="ListParagraph"/>
        <w:numPr>
          <w:ilvl w:val="0"/>
          <w:numId w:val="42"/>
        </w:numPr>
        <w:spacing w:after="240" w:line="264" w:lineRule="auto"/>
        <w:contextualSpacing/>
        <w:rPr>
          <w:rFonts w:eastAsia="Calibri" w:cs="Arial"/>
          <w:lang w:val="es-ES"/>
        </w:rPr>
      </w:pPr>
      <w:r w:rsidRPr="00811088">
        <w:rPr>
          <w:rFonts w:eastAsia="MS Mincho"/>
          <w:b/>
          <w:noProof/>
          <w:sz w:val="24"/>
          <w:lang w:val="es-ES_tradnl" w:eastAsia="en-US"/>
        </w:rPr>
        <w:t xml:space="preserve">Gastos de subvención: </w:t>
      </w:r>
      <w:r w:rsidRPr="00811088">
        <w:rPr>
          <w:rFonts w:eastAsia="MS Mincho"/>
          <w:noProof/>
          <w:sz w:val="24"/>
          <w:lang w:val="es-ES_tradnl" w:eastAsia="en-US"/>
        </w:rPr>
        <w:t xml:space="preserve">los fondos recibidos </w:t>
      </w:r>
      <w:r w:rsidR="00A96C7F" w:rsidRPr="00811088">
        <w:rPr>
          <w:rFonts w:eastAsia="MS Mincho"/>
          <w:noProof/>
          <w:sz w:val="24"/>
          <w:lang w:val="es-ES_tradnl" w:eastAsia="en-US"/>
        </w:rPr>
        <w:t>por</w:t>
      </w:r>
      <w:r w:rsidRPr="00811088">
        <w:rPr>
          <w:rFonts w:eastAsia="MS Mincho"/>
          <w:noProof/>
          <w:sz w:val="24"/>
          <w:lang w:val="es-ES_tradnl" w:eastAsia="en-US"/>
        </w:rPr>
        <w:t xml:space="preserve"> el Programa</w:t>
      </w:r>
      <w:r w:rsidR="00A96C7F" w:rsidRPr="00811088">
        <w:rPr>
          <w:rFonts w:eastAsia="MS Mincho"/>
          <w:noProof/>
          <w:sz w:val="24"/>
          <w:lang w:val="es-ES_tradnl" w:eastAsia="en-US"/>
        </w:rPr>
        <w:t xml:space="preserve"> a partir de desembolsos o bien generados </w:t>
      </w:r>
      <w:r w:rsidRPr="00811088">
        <w:rPr>
          <w:rFonts w:eastAsia="MS Mincho"/>
          <w:noProof/>
          <w:sz w:val="24"/>
          <w:lang w:val="es-ES_tradnl" w:eastAsia="en-US"/>
        </w:rPr>
        <w:t>por los fondos del Programa</w:t>
      </w:r>
      <w:r w:rsidRPr="00811088">
        <w:rPr>
          <w:rFonts w:eastAsia="MS Mincho"/>
          <w:noProof/>
          <w:sz w:val="24"/>
          <w:vertAlign w:val="superscript"/>
          <w:lang w:val="en-US" w:eastAsia="en-US"/>
        </w:rPr>
        <w:footnoteReference w:id="8"/>
      </w:r>
      <w:r w:rsidRPr="00811088">
        <w:rPr>
          <w:rFonts w:eastAsia="MS Mincho"/>
          <w:noProof/>
          <w:sz w:val="24"/>
          <w:lang w:val="es-ES_tradnl" w:eastAsia="en-US"/>
        </w:rPr>
        <w:t xml:space="preserve">, </w:t>
      </w:r>
      <w:r w:rsidR="00A96C7F" w:rsidRPr="00811088">
        <w:rPr>
          <w:rFonts w:eastAsia="MS Mincho"/>
          <w:noProof/>
          <w:sz w:val="24"/>
          <w:lang w:val="es-ES_tradnl" w:eastAsia="en-US"/>
        </w:rPr>
        <w:t xml:space="preserve">incluidos los bienes y servicios de desembolsos directos a terceras partes </w:t>
      </w:r>
      <w:r w:rsidRPr="00811088">
        <w:rPr>
          <w:rFonts w:eastAsia="MS Mincho"/>
          <w:noProof/>
          <w:sz w:val="24"/>
          <w:lang w:val="es-ES_tradnl" w:eastAsia="en-US"/>
        </w:rPr>
        <w:t>se gastaron de conformidad con</w:t>
      </w:r>
      <w:r w:rsidR="00A96C7F" w:rsidRPr="00811088">
        <w:rPr>
          <w:rFonts w:eastAsia="MS Mincho"/>
          <w:noProof/>
          <w:sz w:val="24"/>
          <w:lang w:val="es-ES_tradnl" w:eastAsia="en-US"/>
        </w:rPr>
        <w:t>:</w:t>
      </w:r>
      <w:r w:rsidRPr="00811088">
        <w:rPr>
          <w:rFonts w:eastAsia="MS Mincho"/>
          <w:noProof/>
          <w:sz w:val="24"/>
          <w:lang w:val="es-ES_tradnl" w:eastAsia="en-US"/>
        </w:rPr>
        <w:t xml:space="preserve"> </w:t>
      </w:r>
      <w:bookmarkStart w:id="31" w:name="_Hlk5026253"/>
    </w:p>
    <w:p w14:paraId="489DAB0C" w14:textId="77777777" w:rsidR="00A96C7F" w:rsidRPr="004339BB" w:rsidRDefault="00A96C7F" w:rsidP="00A96C7F">
      <w:pPr>
        <w:pStyle w:val="ListParagraph"/>
        <w:numPr>
          <w:ilvl w:val="0"/>
          <w:numId w:val="42"/>
        </w:numPr>
        <w:spacing w:after="240" w:line="264" w:lineRule="auto"/>
        <w:contextualSpacing/>
        <w:rPr>
          <w:rFonts w:eastAsia="Calibri" w:cs="Arial"/>
          <w:sz w:val="24"/>
          <w:szCs w:val="24"/>
          <w:lang w:val="es-ES"/>
        </w:rPr>
      </w:pPr>
      <w:r w:rsidRPr="004339BB">
        <w:rPr>
          <w:rFonts w:eastAsia="Calibri" w:cs="Arial"/>
          <w:sz w:val="24"/>
          <w:szCs w:val="24"/>
          <w:lang w:val="es"/>
        </w:rPr>
        <w:t xml:space="preserve">Cumplimiento: el presupuesto y el plan de trabajo aprobados vigentes en el momento en que se produjo el gasto; y en consonancia con las disposiciones del acuerdo de subvención y de las Directrices para la preparación de presupuestos del Fondo Mundial, incluida cualquier condición de la subvención aplicable (según hayan sido modificadas por cualquier carta de ejecución). </w:t>
      </w:r>
    </w:p>
    <w:p w14:paraId="63B7C8B8" w14:textId="77777777" w:rsidR="00A96C7F" w:rsidRPr="004339BB" w:rsidRDefault="00A96C7F" w:rsidP="00A96C7F">
      <w:pPr>
        <w:pStyle w:val="ListParagraph"/>
        <w:numPr>
          <w:ilvl w:val="0"/>
          <w:numId w:val="42"/>
        </w:numPr>
        <w:spacing w:after="240" w:line="264" w:lineRule="auto"/>
        <w:contextualSpacing/>
        <w:rPr>
          <w:rFonts w:eastAsia="Calibri" w:cs="Arial"/>
          <w:sz w:val="24"/>
          <w:szCs w:val="24"/>
          <w:lang w:val="es-ES"/>
        </w:rPr>
      </w:pPr>
      <w:r w:rsidRPr="004339BB">
        <w:rPr>
          <w:rFonts w:eastAsia="Calibri" w:cs="Arial"/>
          <w:sz w:val="24"/>
          <w:szCs w:val="24"/>
          <w:lang w:val="es"/>
        </w:rPr>
        <w:t xml:space="preserve">Costos elegibles: solo para los fines para los cuales se proporcionaron los fondos. </w:t>
      </w:r>
    </w:p>
    <w:p w14:paraId="1C9C2120" w14:textId="77777777" w:rsidR="00A96C7F" w:rsidRPr="004339BB" w:rsidRDefault="00A96C7F" w:rsidP="00A96C7F">
      <w:pPr>
        <w:pStyle w:val="ListParagraph"/>
        <w:numPr>
          <w:ilvl w:val="0"/>
          <w:numId w:val="42"/>
        </w:numPr>
        <w:spacing w:after="240" w:line="264" w:lineRule="auto"/>
        <w:contextualSpacing/>
        <w:rPr>
          <w:rFonts w:eastAsia="Calibri" w:cs="Arial"/>
          <w:sz w:val="24"/>
          <w:szCs w:val="24"/>
          <w:lang w:val="es-ES"/>
        </w:rPr>
      </w:pPr>
      <w:r w:rsidRPr="004339BB">
        <w:rPr>
          <w:rFonts w:eastAsia="Calibri" w:cs="Arial"/>
          <w:sz w:val="24"/>
          <w:szCs w:val="24"/>
          <w:lang w:val="es"/>
        </w:rPr>
        <w:t xml:space="preserve">Optimización de recursos: con la debida atención a la economía y la eficiencia. </w:t>
      </w:r>
    </w:p>
    <w:p w14:paraId="2CAF79C8" w14:textId="77777777" w:rsidR="00A12D4D" w:rsidRPr="00811088" w:rsidRDefault="00A96C7F" w:rsidP="00A96C7F">
      <w:pPr>
        <w:pStyle w:val="ListParagraph"/>
        <w:numPr>
          <w:ilvl w:val="0"/>
          <w:numId w:val="42"/>
        </w:numPr>
        <w:spacing w:after="240" w:line="264" w:lineRule="auto"/>
        <w:contextualSpacing/>
        <w:rPr>
          <w:rFonts w:eastAsia="Calibri" w:cs="Arial"/>
          <w:lang w:val="es-ES"/>
        </w:rPr>
      </w:pPr>
      <w:r w:rsidRPr="004339BB">
        <w:rPr>
          <w:rFonts w:eastAsia="Calibri" w:cs="Arial"/>
          <w:sz w:val="24"/>
          <w:szCs w:val="24"/>
          <w:lang w:val="es"/>
        </w:rPr>
        <w:t>Costos compartidos: verificación del mecanismo de asignación de los costos compartidos y revisión de la precisión, compleción y aceptabilidad de los costos compartidos</w:t>
      </w:r>
      <w:r w:rsidR="00BC4F5E" w:rsidRPr="004339BB">
        <w:rPr>
          <w:rFonts w:eastAsia="Calibri" w:cs="Arial"/>
          <w:sz w:val="24"/>
          <w:szCs w:val="24"/>
          <w:lang w:val="es"/>
        </w:rPr>
        <w:t xml:space="preserve">. </w:t>
      </w:r>
      <w:r w:rsidR="00A12D4D" w:rsidRPr="004339BB">
        <w:rPr>
          <w:rFonts w:eastAsia="MS Mincho"/>
          <w:noProof/>
          <w:sz w:val="24"/>
          <w:szCs w:val="24"/>
          <w:lang w:val="es-ES_tradnl" w:eastAsia="en-US"/>
        </w:rPr>
        <w:t xml:space="preserve"> razonabilidad</w:t>
      </w:r>
      <w:r w:rsidR="00A12D4D" w:rsidRPr="00811088">
        <w:rPr>
          <w:rFonts w:eastAsia="MS Mincho"/>
          <w:noProof/>
          <w:sz w:val="24"/>
          <w:lang w:val="es-ES_tradnl" w:eastAsia="en-US"/>
        </w:rPr>
        <w:t>;</w:t>
      </w:r>
      <w:bookmarkEnd w:id="31"/>
      <w:r w:rsidR="00A12D4D" w:rsidRPr="00811088">
        <w:rPr>
          <w:rFonts w:eastAsia="MS Mincho"/>
          <w:noProof/>
          <w:sz w:val="24"/>
          <w:lang w:val="es-ES_tradnl" w:eastAsia="en-US"/>
        </w:rPr>
        <w:t xml:space="preserve"> </w:t>
      </w:r>
    </w:p>
    <w:p w14:paraId="62DFA720" w14:textId="2F2411E8" w:rsidR="00E1562E" w:rsidRPr="004339BB" w:rsidRDefault="00A12D4D" w:rsidP="00E1562E">
      <w:pPr>
        <w:numPr>
          <w:ilvl w:val="0"/>
          <w:numId w:val="28"/>
        </w:numPr>
        <w:spacing w:after="120"/>
        <w:jc w:val="both"/>
        <w:rPr>
          <w:rFonts w:eastAsia="Calibri" w:cs="Arial"/>
          <w:sz w:val="24"/>
          <w:lang w:val="es" w:eastAsia="en-GB"/>
        </w:rPr>
      </w:pPr>
      <w:r w:rsidRPr="00E1562E">
        <w:rPr>
          <w:rFonts w:eastAsia="MS Mincho"/>
          <w:b/>
          <w:sz w:val="24"/>
          <w:szCs w:val="22"/>
          <w:lang w:val="es-ES_tradnl" w:eastAsia="en-US"/>
        </w:rPr>
        <w:t>Costos elegibles:</w:t>
      </w:r>
      <w:r w:rsidR="00811088">
        <w:rPr>
          <w:rFonts w:eastAsia="MS Mincho"/>
          <w:sz w:val="24"/>
          <w:szCs w:val="22"/>
          <w:lang w:val="es-ES_tradnl" w:eastAsia="en-US"/>
        </w:rPr>
        <w:t xml:space="preserve"> </w:t>
      </w:r>
      <w:r w:rsidR="00E1562E" w:rsidRPr="004339BB">
        <w:rPr>
          <w:rFonts w:eastAsia="Calibri" w:cs="Arial"/>
          <w:sz w:val="24"/>
          <w:lang w:val="es" w:eastAsia="en-GB"/>
        </w:rPr>
        <w:t>Revisión de los costos imputados a la subvención identificando y cuantificando cualquier costo no elegible con arreglo a la definición de gastos conformes y no conformes de las Directrices sobre la preparación de presupuestos (secciones 4 y 5), así como acordando los gastos de los documentos justificativos por muestreo. Comparar el gasto real con el presupuesto y obtener explicaciones para las desviaciones (las desviaciones presupuestarias sustanciales no aprobadas deben incluirse en el inventario de gastos no elegibles).</w:t>
      </w:r>
    </w:p>
    <w:p w14:paraId="391B5CAE" w14:textId="77777777" w:rsidR="00E1562E" w:rsidRPr="004339BB" w:rsidRDefault="00A12D4D" w:rsidP="00E1562E">
      <w:pPr>
        <w:numPr>
          <w:ilvl w:val="0"/>
          <w:numId w:val="28"/>
        </w:numPr>
        <w:spacing w:after="120"/>
        <w:jc w:val="both"/>
        <w:rPr>
          <w:rFonts w:eastAsia="Calibri" w:cs="Arial"/>
          <w:sz w:val="24"/>
          <w:lang w:val="es" w:eastAsia="en-GB"/>
        </w:rPr>
      </w:pPr>
      <w:r w:rsidRPr="00811088">
        <w:rPr>
          <w:rFonts w:eastAsia="MS Mincho"/>
          <w:b/>
          <w:noProof/>
          <w:sz w:val="24"/>
          <w:szCs w:val="22"/>
          <w:lang w:val="es-ES_tradnl" w:eastAsia="en-US"/>
        </w:rPr>
        <w:t>Sistema de controles internos</w:t>
      </w:r>
      <w:r w:rsidRPr="00811088">
        <w:rPr>
          <w:rFonts w:eastAsia="MS Mincho"/>
          <w:sz w:val="24"/>
          <w:szCs w:val="22"/>
          <w:lang w:val="es-ES_tradnl" w:eastAsia="en-US"/>
        </w:rPr>
        <w:t>:</w:t>
      </w:r>
      <w:r w:rsidR="00E1562E" w:rsidRPr="00811088">
        <w:rPr>
          <w:rFonts w:eastAsia="MS Mincho"/>
          <w:sz w:val="24"/>
          <w:szCs w:val="22"/>
          <w:lang w:val="es-ES_tradnl" w:eastAsia="en-US"/>
        </w:rPr>
        <w:t xml:space="preserve"> </w:t>
      </w:r>
      <w:r w:rsidR="00E1562E" w:rsidRPr="004339BB">
        <w:rPr>
          <w:rFonts w:eastAsia="Calibri" w:cs="Arial"/>
          <w:sz w:val="24"/>
          <w:lang w:val="es" w:eastAsia="en-GB"/>
        </w:rPr>
        <w:t>una evaluación integral del RP y de los subreceptores clave identificados por el Equipo de País del Fondo Mundial en consulta con el Receptor Principal sobre el diseño y la efectividad operativa durante el período bajo revisión de:</w:t>
      </w:r>
    </w:p>
    <w:p w14:paraId="69BF41D2" w14:textId="77777777" w:rsidR="00E1562E" w:rsidRPr="004339BB" w:rsidRDefault="00E1562E" w:rsidP="00E1562E">
      <w:pPr>
        <w:pStyle w:val="ListParagraph"/>
        <w:numPr>
          <w:ilvl w:val="0"/>
          <w:numId w:val="42"/>
        </w:numPr>
        <w:spacing w:after="240" w:line="264" w:lineRule="auto"/>
        <w:contextualSpacing/>
        <w:rPr>
          <w:rFonts w:eastAsia="Calibri" w:cs="Arial"/>
          <w:sz w:val="24"/>
          <w:szCs w:val="24"/>
          <w:lang w:val="es-ES"/>
        </w:rPr>
      </w:pPr>
      <w:r w:rsidRPr="004339BB">
        <w:rPr>
          <w:rFonts w:eastAsia="Calibri" w:cs="Arial"/>
          <w:sz w:val="24"/>
          <w:szCs w:val="24"/>
          <w:lang w:val="es"/>
        </w:rPr>
        <w:t>Contabilidad y sistema de control interno general para supervisar los gastos en todos los niveles del programa y otras transacciones financieras.</w:t>
      </w:r>
    </w:p>
    <w:p w14:paraId="694D017C" w14:textId="77777777" w:rsidR="00E1562E" w:rsidRPr="004339BB" w:rsidRDefault="00E1562E" w:rsidP="00E1562E">
      <w:pPr>
        <w:pStyle w:val="ListParagraph"/>
        <w:numPr>
          <w:ilvl w:val="0"/>
          <w:numId w:val="42"/>
        </w:numPr>
        <w:spacing w:after="240" w:line="264" w:lineRule="auto"/>
        <w:contextualSpacing/>
        <w:rPr>
          <w:rFonts w:eastAsia="Calibri" w:cs="Arial"/>
          <w:sz w:val="24"/>
          <w:szCs w:val="24"/>
          <w:lang w:val="es-ES"/>
        </w:rPr>
      </w:pPr>
      <w:r w:rsidRPr="004339BB">
        <w:rPr>
          <w:rFonts w:eastAsia="Calibri" w:cs="Arial"/>
          <w:sz w:val="24"/>
          <w:szCs w:val="24"/>
          <w:lang w:val="es"/>
        </w:rPr>
        <w:t xml:space="preserve">Adecuación y efectividad de los controles relacionados con las transacciones de efectivo. </w:t>
      </w:r>
    </w:p>
    <w:p w14:paraId="4A3ED6FA" w14:textId="77777777" w:rsidR="00E1562E" w:rsidRPr="004339BB" w:rsidRDefault="00E1562E" w:rsidP="00E1562E">
      <w:pPr>
        <w:pStyle w:val="ListParagraph"/>
        <w:numPr>
          <w:ilvl w:val="0"/>
          <w:numId w:val="42"/>
        </w:numPr>
        <w:spacing w:after="120"/>
        <w:contextualSpacing/>
        <w:jc w:val="both"/>
        <w:rPr>
          <w:rFonts w:asciiTheme="majorHAnsi" w:eastAsia="MS Mincho" w:hAnsiTheme="majorHAnsi" w:cstheme="majorHAnsi"/>
          <w:sz w:val="24"/>
          <w:szCs w:val="24"/>
          <w:lang w:val="es-ES"/>
        </w:rPr>
      </w:pPr>
      <w:r w:rsidRPr="004339BB">
        <w:rPr>
          <w:rFonts w:eastAsia="Calibri" w:cs="Arial"/>
          <w:sz w:val="24"/>
          <w:szCs w:val="24"/>
          <w:lang w:val="es"/>
        </w:rPr>
        <w:t>Gestión de riesgos sustanciales para el logro de los objetivos del programa.</w:t>
      </w:r>
    </w:p>
    <w:p w14:paraId="67CA01FF" w14:textId="77777777" w:rsidR="00E1562E" w:rsidRPr="004339BB" w:rsidRDefault="00E1562E" w:rsidP="00E1562E">
      <w:pPr>
        <w:pStyle w:val="ListParagraph"/>
        <w:numPr>
          <w:ilvl w:val="0"/>
          <w:numId w:val="42"/>
        </w:numPr>
        <w:spacing w:after="120"/>
        <w:contextualSpacing/>
        <w:jc w:val="both"/>
        <w:rPr>
          <w:rFonts w:asciiTheme="majorHAnsi" w:eastAsia="MS Mincho" w:hAnsiTheme="majorHAnsi" w:cstheme="majorHAnsi"/>
          <w:sz w:val="24"/>
          <w:szCs w:val="24"/>
          <w:lang w:val="es-ES"/>
        </w:rPr>
      </w:pPr>
      <w:r w:rsidRPr="004339BB">
        <w:rPr>
          <w:rFonts w:asciiTheme="majorHAnsi" w:eastAsia="MS Mincho" w:hAnsiTheme="majorHAnsi" w:cstheme="majorHAnsi"/>
          <w:sz w:val="24"/>
          <w:szCs w:val="24"/>
          <w:lang w:val="es"/>
        </w:rPr>
        <w:t xml:space="preserve">También debe prestarse especial atención a los controles del riesgo de fraude a nivel del Receptor Principal y los subreceptores [ISA 240]. </w:t>
      </w:r>
    </w:p>
    <w:p w14:paraId="4BBB70EC" w14:textId="77777777" w:rsidR="00E1562E" w:rsidRPr="004339BB" w:rsidRDefault="00E1562E" w:rsidP="00E1562E">
      <w:pPr>
        <w:pStyle w:val="ListParagraph"/>
        <w:numPr>
          <w:ilvl w:val="0"/>
          <w:numId w:val="42"/>
        </w:numPr>
        <w:spacing w:after="120"/>
        <w:contextualSpacing/>
        <w:jc w:val="both"/>
        <w:rPr>
          <w:rFonts w:asciiTheme="majorHAnsi" w:eastAsia="MS Mincho" w:hAnsiTheme="majorHAnsi" w:cstheme="majorHAnsi"/>
          <w:sz w:val="24"/>
          <w:szCs w:val="24"/>
          <w:lang w:val="es-ES"/>
        </w:rPr>
      </w:pPr>
      <w:r w:rsidRPr="004339BB">
        <w:rPr>
          <w:rFonts w:asciiTheme="majorHAnsi" w:eastAsia="MS Mincho" w:hAnsiTheme="majorHAnsi" w:cstheme="majorHAnsi"/>
          <w:sz w:val="24"/>
          <w:szCs w:val="24"/>
          <w:lang w:val="es"/>
        </w:rPr>
        <w:t xml:space="preserve">Controles de los procesos encomendados a </w:t>
      </w:r>
      <w:r w:rsidRPr="004339BB">
        <w:rPr>
          <w:rFonts w:asciiTheme="majorHAnsi" w:eastAsia="MS Mincho" w:hAnsiTheme="majorHAnsi" w:cstheme="majorHAnsi"/>
          <w:b/>
          <w:bCs/>
          <w:sz w:val="24"/>
          <w:szCs w:val="24"/>
          <w:lang w:val="es"/>
        </w:rPr>
        <w:t>terceros</w:t>
      </w:r>
      <w:r w:rsidRPr="004339BB">
        <w:rPr>
          <w:rFonts w:asciiTheme="majorHAnsi" w:eastAsia="MS Mincho" w:hAnsiTheme="majorHAnsi" w:cstheme="majorHAnsi"/>
          <w:b/>
          <w:bCs/>
          <w:sz w:val="24"/>
          <w:szCs w:val="24"/>
          <w:vertAlign w:val="superscript"/>
          <w:lang w:val="es"/>
        </w:rPr>
        <w:footnoteReference w:id="9"/>
      </w:r>
      <w:r w:rsidRPr="004339BB">
        <w:rPr>
          <w:rFonts w:asciiTheme="majorHAnsi" w:eastAsia="MS Mincho" w:hAnsiTheme="majorHAnsi" w:cstheme="majorHAnsi"/>
          <w:sz w:val="24"/>
          <w:szCs w:val="24"/>
          <w:lang w:val="es"/>
        </w:rPr>
        <w:t xml:space="preserve"> [si es el caso].</w:t>
      </w:r>
    </w:p>
    <w:p w14:paraId="70E7ED0A" w14:textId="77777777" w:rsidR="00E1562E" w:rsidRPr="004339BB" w:rsidRDefault="00E1562E" w:rsidP="00E1562E">
      <w:pPr>
        <w:spacing w:after="120"/>
        <w:ind w:left="1004"/>
        <w:jc w:val="both"/>
        <w:rPr>
          <w:rFonts w:asciiTheme="majorHAnsi" w:eastAsia="Calibri" w:hAnsiTheme="majorHAnsi" w:cstheme="majorHAnsi"/>
          <w:sz w:val="24"/>
          <w:lang w:val="es-ES"/>
        </w:rPr>
      </w:pPr>
      <w:r w:rsidRPr="004339BB">
        <w:rPr>
          <w:rFonts w:asciiTheme="majorHAnsi" w:eastAsia="Calibri" w:hAnsiTheme="majorHAnsi" w:cstheme="majorHAnsi"/>
          <w:sz w:val="24"/>
          <w:lang w:val="es"/>
        </w:rPr>
        <w:t>Para los países enfocados, el auditor debe limitar su evaluación a los controles financieros del Receptor Principal y los subreceptores.</w:t>
      </w:r>
    </w:p>
    <w:p w14:paraId="0C7D9AA3" w14:textId="77777777" w:rsidR="00A12D4D" w:rsidRPr="00E1562E" w:rsidRDefault="00A12D4D" w:rsidP="00397362">
      <w:pPr>
        <w:numPr>
          <w:ilvl w:val="0"/>
          <w:numId w:val="28"/>
        </w:numPr>
        <w:spacing w:after="120"/>
        <w:ind w:left="567"/>
        <w:jc w:val="both"/>
        <w:rPr>
          <w:rFonts w:eastAsia="MS Mincho"/>
          <w:noProof/>
          <w:sz w:val="24"/>
          <w:szCs w:val="22"/>
          <w:lang w:val="es-ES_tradnl" w:eastAsia="en-US"/>
        </w:rPr>
      </w:pPr>
      <w:r w:rsidRPr="00E1562E">
        <w:rPr>
          <w:rFonts w:eastAsia="MS Mincho"/>
          <w:b/>
          <w:noProof/>
          <w:sz w:val="24"/>
          <w:szCs w:val="22"/>
          <w:lang w:val="es-ES_tradnl" w:eastAsia="en-US"/>
        </w:rPr>
        <w:t xml:space="preserve">Seguimiento del estado de las conclusiones de informes de auditoría previos: </w:t>
      </w:r>
      <w:r w:rsidRPr="00E1562E">
        <w:rPr>
          <w:rFonts w:eastAsia="MS Mincho"/>
          <w:noProof/>
          <w:sz w:val="24"/>
          <w:szCs w:val="22"/>
          <w:lang w:val="es-ES_tradnl" w:eastAsia="en-US"/>
        </w:rPr>
        <w:t>el auditor debe realizar un seguimiento de las medidas de gestión previstas con el fin de abordar las conclusiones de auditorías previas, incluidas auditorías externas, auditorías internas pertinentes y auditorías encargadas por la Oficina del Inspector General (OIG) del Fondo Mundial;</w:t>
      </w:r>
    </w:p>
    <w:p w14:paraId="49A21863" w14:textId="77777777" w:rsidR="00A12D4D" w:rsidRPr="00811088" w:rsidRDefault="00A12D4D" w:rsidP="00E1562E">
      <w:pPr>
        <w:numPr>
          <w:ilvl w:val="0"/>
          <w:numId w:val="28"/>
        </w:numPr>
        <w:spacing w:after="120"/>
        <w:jc w:val="both"/>
        <w:rPr>
          <w:rFonts w:eastAsia="MS Mincho"/>
          <w:noProof/>
          <w:sz w:val="24"/>
          <w:szCs w:val="22"/>
          <w:lang w:val="es-ES_tradnl" w:eastAsia="en-US"/>
        </w:rPr>
      </w:pPr>
      <w:r w:rsidRPr="00811088">
        <w:rPr>
          <w:rFonts w:eastAsia="MS Mincho"/>
          <w:b/>
          <w:noProof/>
          <w:sz w:val="24"/>
          <w:szCs w:val="22"/>
          <w:lang w:val="es-ES_tradnl" w:eastAsia="en-US"/>
        </w:rPr>
        <w:t>Cuentas bancarias designadas</w:t>
      </w:r>
      <w:r w:rsidRPr="00811088">
        <w:rPr>
          <w:rFonts w:eastAsia="MS Mincho"/>
          <w:noProof/>
          <w:sz w:val="24"/>
          <w:szCs w:val="22"/>
          <w:lang w:val="es-ES_tradnl" w:eastAsia="en-US"/>
        </w:rPr>
        <w:t>: cuando el Receptor Principal y los subreceptores han utilizado cuentas designadas (incluidas aquellas empleadas en un mecanismo de ejecución de programas de financiamiento común aprobado), estas se han mantenido y utilizado con arreglo a las disposiciones del acuerdo de subvención y a las normas y procedimientos del Fondo Mundial;</w:t>
      </w:r>
      <w:r w:rsidR="00E1562E" w:rsidRPr="00811088">
        <w:rPr>
          <w:lang w:val="es-419"/>
        </w:rPr>
        <w:t xml:space="preserve"> </w:t>
      </w:r>
      <w:r w:rsidR="00E1562E" w:rsidRPr="00811088">
        <w:rPr>
          <w:rFonts w:eastAsia="MS Mincho"/>
          <w:noProof/>
          <w:sz w:val="24"/>
          <w:szCs w:val="22"/>
          <w:lang w:val="es-ES_tradnl" w:eastAsia="en-US"/>
        </w:rPr>
        <w:t xml:space="preserve"> Los auditores deben realizar confirmaciones bancarias directas para todas las cuentas bancarias designadas que posean los receptores principales. Además, deben revisar el proceso y los controles que los receptores principales aplican en las</w:t>
      </w:r>
      <w:r w:rsidR="00BC4F5E" w:rsidRPr="00811088">
        <w:rPr>
          <w:rFonts w:eastAsia="MS Mincho"/>
          <w:noProof/>
          <w:sz w:val="24"/>
          <w:szCs w:val="22"/>
          <w:lang w:val="es-ES_tradnl" w:eastAsia="en-US"/>
        </w:rPr>
        <w:t xml:space="preserve"> cuentas bancarias designadas que mantienen laas entidades ejecutoras secundarias.</w:t>
      </w:r>
    </w:p>
    <w:p w14:paraId="6A8E5824" w14:textId="77777777" w:rsidR="00A12D4D" w:rsidRPr="00291082" w:rsidRDefault="00A12D4D" w:rsidP="00915460">
      <w:pPr>
        <w:numPr>
          <w:ilvl w:val="0"/>
          <w:numId w:val="28"/>
        </w:numPr>
        <w:spacing w:after="120"/>
        <w:ind w:left="567"/>
        <w:jc w:val="both"/>
        <w:rPr>
          <w:rFonts w:eastAsia="MS Mincho"/>
          <w:sz w:val="24"/>
          <w:szCs w:val="22"/>
          <w:lang w:val="es-ES_tradnl" w:eastAsia="en-US"/>
        </w:rPr>
      </w:pPr>
      <w:r w:rsidRPr="00811088">
        <w:rPr>
          <w:rFonts w:eastAsia="MS Mincho"/>
          <w:b/>
          <w:sz w:val="24"/>
          <w:szCs w:val="22"/>
          <w:lang w:val="es-ES_tradnl" w:eastAsia="en-US"/>
        </w:rPr>
        <w:t>Mecanismos de flujo de fondos</w:t>
      </w:r>
      <w:r w:rsidRPr="00811088">
        <w:rPr>
          <w:rFonts w:eastAsia="MS Mincho"/>
          <w:b/>
          <w:i/>
          <w:sz w:val="24"/>
          <w:szCs w:val="22"/>
          <w:lang w:val="es-ES_tradnl" w:eastAsia="en-US"/>
        </w:rPr>
        <w:t>:</w:t>
      </w:r>
      <w:r w:rsidRPr="00811088">
        <w:rPr>
          <w:rFonts w:eastAsia="MS Mincho"/>
          <w:sz w:val="24"/>
          <w:szCs w:val="22"/>
          <w:lang w:val="es-ES_tradnl" w:eastAsia="en-US"/>
        </w:rPr>
        <w:t xml:space="preserve"> revisión de los procedimientos empleados para controlar los fondos, incluido su canalización hacia instituciones</w:t>
      </w:r>
      <w:r w:rsidRPr="00291082">
        <w:rPr>
          <w:rFonts w:eastAsia="MS Mincho"/>
          <w:sz w:val="24"/>
          <w:szCs w:val="22"/>
          <w:lang w:val="es-ES_tradnl" w:eastAsia="en-US"/>
        </w:rPr>
        <w:t xml:space="preserve"> financieras contratadas y otras entidades ejecutoras</w:t>
      </w:r>
      <w:r w:rsidRPr="00291082">
        <w:rPr>
          <w:rFonts w:eastAsia="MS Mincho"/>
          <w:noProof/>
          <w:sz w:val="24"/>
          <w:szCs w:val="22"/>
          <w:lang w:val="es-ES_tradnl" w:eastAsia="en-US"/>
        </w:rPr>
        <w:t>. Revisión de las cuentas bancarias y  de los controles sobre esas cuentas bancarias. Realizar una confirmación positiva de los saldos si fuese necesario.</w:t>
      </w:r>
    </w:p>
    <w:p w14:paraId="71D85689" w14:textId="77777777" w:rsidR="00A12D4D" w:rsidRPr="00291082" w:rsidRDefault="00A12D4D" w:rsidP="00915460">
      <w:pPr>
        <w:numPr>
          <w:ilvl w:val="0"/>
          <w:numId w:val="28"/>
        </w:numPr>
        <w:spacing w:after="120"/>
        <w:ind w:left="567"/>
        <w:jc w:val="both"/>
        <w:rPr>
          <w:rFonts w:eastAsia="MS Mincho"/>
          <w:sz w:val="24"/>
          <w:szCs w:val="22"/>
          <w:lang w:val="es-ES_tradnl" w:eastAsia="en-US"/>
        </w:rPr>
      </w:pPr>
      <w:r w:rsidRPr="00291082">
        <w:rPr>
          <w:rFonts w:eastAsia="MS Mincho"/>
          <w:b/>
          <w:noProof/>
          <w:sz w:val="24"/>
          <w:szCs w:val="22"/>
          <w:lang w:val="es-ES_tradnl" w:eastAsia="en-US"/>
        </w:rPr>
        <w:t>Protección de los activos</w:t>
      </w:r>
      <w:r w:rsidRPr="00291082">
        <w:rPr>
          <w:rFonts w:eastAsia="MS Mincho"/>
          <w:noProof/>
          <w:sz w:val="24"/>
          <w:szCs w:val="22"/>
          <w:lang w:val="es-ES_tradnl" w:eastAsia="en-US"/>
        </w:rPr>
        <w:t xml:space="preserve">: verificar que el Receptor </w:t>
      </w:r>
      <w:r w:rsidRPr="00291082">
        <w:rPr>
          <w:rFonts w:eastAsia="MS Mincho"/>
          <w:sz w:val="24"/>
          <w:szCs w:val="22"/>
          <w:lang w:val="es-ES_tradnl" w:eastAsia="en-US"/>
        </w:rPr>
        <w:t xml:space="preserve">Principal </w:t>
      </w:r>
      <w:r w:rsidRPr="00291082">
        <w:rPr>
          <w:rFonts w:eastAsia="MS Mincho"/>
          <w:noProof/>
          <w:sz w:val="24"/>
          <w:szCs w:val="22"/>
          <w:lang w:val="es-ES_tradnl" w:eastAsia="en-US"/>
        </w:rPr>
        <w:t>ha establecido mecanismos para supervisar y proteger los activos adquiridos con los fondos de la subvención y que se están utilizando para los propósitos previstos. Verificar que existe un registro del inmovilizado del programa y que se mantiene con arreglo al acuerdo de subvención; que se han fijado derechos de propiedad u otros derechso de los beneficiarios relacionados de conformidad con los términos y condiciones generales de la subvención;</w:t>
      </w:r>
      <w:r w:rsidRPr="00291082">
        <w:rPr>
          <w:rFonts w:eastAsia="MS Mincho"/>
          <w:b/>
          <w:sz w:val="24"/>
          <w:szCs w:val="22"/>
          <w:lang w:val="es-ES_tradnl" w:eastAsia="en-US"/>
        </w:rPr>
        <w:t xml:space="preserve"> </w:t>
      </w:r>
    </w:p>
    <w:p w14:paraId="137CB078" w14:textId="77777777" w:rsidR="00A12D4D" w:rsidRPr="00291082" w:rsidRDefault="00A12D4D" w:rsidP="00915460">
      <w:pPr>
        <w:numPr>
          <w:ilvl w:val="0"/>
          <w:numId w:val="28"/>
        </w:numPr>
        <w:spacing w:after="120"/>
        <w:ind w:left="567"/>
        <w:jc w:val="both"/>
        <w:rPr>
          <w:rFonts w:eastAsia="MS Mincho"/>
          <w:sz w:val="24"/>
          <w:szCs w:val="22"/>
          <w:lang w:val="es-ES_tradnl" w:eastAsia="en-US"/>
        </w:rPr>
      </w:pPr>
      <w:r w:rsidRPr="00291082">
        <w:rPr>
          <w:rFonts w:eastAsia="MS Mincho"/>
          <w:b/>
          <w:noProof/>
          <w:sz w:val="24"/>
          <w:szCs w:val="22"/>
          <w:lang w:val="es-ES_tradnl" w:eastAsia="en-US"/>
        </w:rPr>
        <w:t>Desembolsos a los subreceptores</w:t>
      </w:r>
      <w:r w:rsidRPr="00291082">
        <w:rPr>
          <w:rFonts w:eastAsia="MS Mincho"/>
          <w:noProof/>
          <w:sz w:val="24"/>
          <w:szCs w:val="22"/>
          <w:lang w:val="es-ES_tradnl" w:eastAsia="en-US"/>
        </w:rPr>
        <w:t xml:space="preserve">: verificar que los desembolsos realizados por el Receptor </w:t>
      </w:r>
      <w:r w:rsidRPr="00291082">
        <w:rPr>
          <w:rFonts w:eastAsia="MS Mincho"/>
          <w:sz w:val="24"/>
          <w:szCs w:val="22"/>
          <w:lang w:val="es-ES_tradnl" w:eastAsia="en-US"/>
        </w:rPr>
        <w:t xml:space="preserve">Principal a los </w:t>
      </w:r>
      <w:r w:rsidR="00E93D1D">
        <w:rPr>
          <w:rFonts w:eastAsia="MS Mincho"/>
          <w:sz w:val="24"/>
          <w:szCs w:val="22"/>
          <w:lang w:val="es-ES_tradnl" w:eastAsia="en-US"/>
        </w:rPr>
        <w:t>sub</w:t>
      </w:r>
      <w:r w:rsidR="006A0A92" w:rsidRPr="00291082">
        <w:rPr>
          <w:rFonts w:eastAsia="MS Mincho"/>
          <w:sz w:val="24"/>
          <w:szCs w:val="22"/>
          <w:lang w:val="es-ES_tradnl" w:eastAsia="en-US"/>
        </w:rPr>
        <w:t>receptores</w:t>
      </w:r>
      <w:r w:rsidRPr="00291082">
        <w:rPr>
          <w:rFonts w:eastAsia="MS Mincho"/>
          <w:noProof/>
          <w:sz w:val="24"/>
          <w:szCs w:val="22"/>
          <w:lang w:val="es-ES_tradnl" w:eastAsia="en-US"/>
        </w:rPr>
        <w:t xml:space="preserve"> están en consonancia con los acuerdos del subreceptor y la sub-subvención y el plan de trabajo y el presupuesto aprobados. Verificar que el Receptor </w:t>
      </w:r>
      <w:r w:rsidRPr="00291082">
        <w:rPr>
          <w:rFonts w:eastAsia="MS Mincho"/>
          <w:sz w:val="24"/>
          <w:szCs w:val="22"/>
          <w:lang w:val="es-ES_tradnl" w:eastAsia="en-US"/>
        </w:rPr>
        <w:t xml:space="preserve">Principal </w:t>
      </w:r>
      <w:r w:rsidRPr="00291082">
        <w:rPr>
          <w:rFonts w:eastAsia="MS Mincho"/>
          <w:noProof/>
          <w:sz w:val="24"/>
          <w:szCs w:val="22"/>
          <w:lang w:val="es-ES_tradnl" w:eastAsia="en-US"/>
        </w:rPr>
        <w:t>sigue el proceso adecuado para la validación de los informes de gastos presentados por los subreceptores;</w:t>
      </w:r>
      <w:r w:rsidRPr="00291082">
        <w:rPr>
          <w:rFonts w:eastAsia="MS Mincho"/>
          <w:sz w:val="24"/>
          <w:szCs w:val="22"/>
          <w:lang w:val="es-ES_tradnl" w:eastAsia="en-US"/>
        </w:rPr>
        <w:t xml:space="preserve">  </w:t>
      </w:r>
    </w:p>
    <w:p w14:paraId="318AB83F" w14:textId="77777777" w:rsidR="00A12D4D" w:rsidRPr="00291082" w:rsidRDefault="00A12D4D" w:rsidP="00915460">
      <w:pPr>
        <w:numPr>
          <w:ilvl w:val="0"/>
          <w:numId w:val="28"/>
        </w:numPr>
        <w:spacing w:after="120"/>
        <w:ind w:left="567"/>
        <w:jc w:val="both"/>
        <w:rPr>
          <w:rFonts w:eastAsia="MS Mincho"/>
          <w:noProof/>
          <w:sz w:val="24"/>
          <w:szCs w:val="22"/>
          <w:lang w:val="es-ES_tradnl" w:eastAsia="en-US"/>
        </w:rPr>
      </w:pPr>
      <w:r w:rsidRPr="00291082">
        <w:rPr>
          <w:rFonts w:eastAsia="MS Mincho"/>
          <w:b/>
          <w:sz w:val="24"/>
          <w:szCs w:val="22"/>
          <w:lang w:val="es-ES_tradnl" w:eastAsia="en-US"/>
        </w:rPr>
        <w:t>Mantenimiento de datos y documentación justificativa</w:t>
      </w:r>
      <w:r w:rsidRPr="00291082">
        <w:rPr>
          <w:rFonts w:eastAsia="MS Mincho"/>
          <w:sz w:val="24"/>
          <w:szCs w:val="22"/>
          <w:lang w:val="es-ES_tradnl" w:eastAsia="en-US"/>
        </w:rPr>
        <w:t>: se han mantenido los documentos justificativos, registros y cuentas en conformidad a las disposiciones del acuerdo de subvención</w:t>
      </w:r>
      <w:r w:rsidRPr="00291082">
        <w:rPr>
          <w:rFonts w:eastAsia="MS Mincho"/>
          <w:noProof/>
          <w:sz w:val="24"/>
          <w:szCs w:val="22"/>
          <w:lang w:val="es-ES_tradnl" w:eastAsia="en-US"/>
        </w:rPr>
        <w:t>. Existen procedimientos para asegurar y gestionar los datos electrónicos (sistemas y procedimientos de respaldo, etc.);</w:t>
      </w:r>
    </w:p>
    <w:p w14:paraId="31CB1BC2" w14:textId="77777777" w:rsidR="00A12D4D" w:rsidRPr="00291082" w:rsidRDefault="00A12D4D" w:rsidP="00915460">
      <w:pPr>
        <w:spacing w:after="120"/>
        <w:ind w:left="567"/>
        <w:jc w:val="both"/>
        <w:rPr>
          <w:rFonts w:eastAsia="Calibri"/>
          <w:noProof/>
          <w:sz w:val="24"/>
          <w:szCs w:val="22"/>
          <w:lang w:val="es-ES_tradnl" w:eastAsia="en-US"/>
        </w:rPr>
      </w:pPr>
      <w:r w:rsidRPr="00291082">
        <w:rPr>
          <w:rFonts w:eastAsia="Calibri"/>
          <w:noProof/>
          <w:sz w:val="24"/>
          <w:szCs w:val="22"/>
          <w:lang w:val="es-ES_tradnl" w:eastAsia="en-US"/>
        </w:rPr>
        <w:t>Además, el Fondo Mundial puede solicitar a los auditores que revisen las siguientes áreas de preocupación, en cuyo caso el alcance adicional será acordado previamente entre el Fondo Mundial y los auditores:</w:t>
      </w:r>
    </w:p>
    <w:p w14:paraId="57F4B745" w14:textId="77777777" w:rsidR="00A12D4D" w:rsidRPr="00291082" w:rsidRDefault="00A12D4D" w:rsidP="00915460">
      <w:pPr>
        <w:numPr>
          <w:ilvl w:val="0"/>
          <w:numId w:val="28"/>
        </w:numPr>
        <w:spacing w:after="120"/>
        <w:ind w:left="567"/>
        <w:jc w:val="both"/>
        <w:rPr>
          <w:rFonts w:eastAsia="MS Mincho"/>
          <w:noProof/>
          <w:sz w:val="24"/>
          <w:szCs w:val="22"/>
          <w:lang w:val="es-ES_tradnl" w:eastAsia="en-US"/>
        </w:rPr>
      </w:pPr>
      <w:r w:rsidRPr="00291082">
        <w:rPr>
          <w:rFonts w:eastAsia="MS Mincho"/>
          <w:b/>
          <w:noProof/>
          <w:sz w:val="24"/>
          <w:szCs w:val="22"/>
          <w:lang w:val="es-ES_tradnl" w:eastAsia="en-US"/>
        </w:rPr>
        <w:t>Bienes y</w:t>
      </w:r>
      <w:r w:rsidRPr="00291082">
        <w:rPr>
          <w:rFonts w:eastAsia="MS Mincho"/>
          <w:b/>
          <w:sz w:val="24"/>
          <w:szCs w:val="22"/>
          <w:lang w:val="es-ES_tradnl" w:eastAsia="en-US"/>
        </w:rPr>
        <w:t xml:space="preserve"> </w:t>
      </w:r>
      <w:r w:rsidRPr="00291082">
        <w:rPr>
          <w:rFonts w:eastAsia="MS Mincho"/>
          <w:b/>
          <w:noProof/>
          <w:sz w:val="24"/>
          <w:szCs w:val="22"/>
          <w:lang w:val="es-ES_tradnl" w:eastAsia="en-US"/>
        </w:rPr>
        <w:t xml:space="preserve">servicios: </w:t>
      </w:r>
      <w:r w:rsidRPr="00291082">
        <w:rPr>
          <w:rFonts w:eastAsia="MS Mincho"/>
          <w:noProof/>
          <w:sz w:val="24"/>
          <w:szCs w:val="22"/>
          <w:lang w:val="es-ES_tradnl" w:eastAsia="en-US"/>
        </w:rPr>
        <w:t>se han adquirido de manera transparente, competitiva y con arreglo al acuerdo de subvención</w:t>
      </w:r>
      <w:r w:rsidRPr="00291082">
        <w:rPr>
          <w:rFonts w:eastAsia="MS Mincho"/>
          <w:b/>
          <w:noProof/>
          <w:sz w:val="24"/>
          <w:szCs w:val="22"/>
          <w:lang w:val="es-ES_tradnl" w:eastAsia="en-US"/>
        </w:rPr>
        <w:t xml:space="preserve"> </w:t>
      </w:r>
      <w:r w:rsidRPr="00291082">
        <w:rPr>
          <w:rFonts w:eastAsia="MS Mincho"/>
          <w:noProof/>
          <w:sz w:val="24"/>
          <w:szCs w:val="22"/>
          <w:lang w:val="es-ES_tradnl" w:eastAsia="en-US"/>
        </w:rPr>
        <w:t>y las directrices de adquisiciones pertinentes aprobadas por el Fondo Mundial;</w:t>
      </w:r>
    </w:p>
    <w:p w14:paraId="6227AB14" w14:textId="77777777" w:rsidR="00A12D4D" w:rsidRPr="00811088" w:rsidRDefault="00A12D4D" w:rsidP="008734B1">
      <w:pPr>
        <w:numPr>
          <w:ilvl w:val="0"/>
          <w:numId w:val="28"/>
        </w:numPr>
        <w:spacing w:after="120"/>
        <w:jc w:val="both"/>
        <w:rPr>
          <w:rFonts w:eastAsia="MS Mincho"/>
          <w:sz w:val="24"/>
          <w:szCs w:val="22"/>
          <w:lang w:val="es-ES_tradnl" w:eastAsia="en-US"/>
        </w:rPr>
      </w:pPr>
      <w:r w:rsidRPr="00811088">
        <w:rPr>
          <w:rFonts w:eastAsia="MS Mincho"/>
          <w:b/>
          <w:noProof/>
          <w:sz w:val="24"/>
          <w:szCs w:val="22"/>
          <w:lang w:val="es-ES_tradnl" w:eastAsia="en-US"/>
        </w:rPr>
        <w:t>Sistemas de adquisición de productos farmacéuticos y  sanitarios</w:t>
      </w:r>
      <w:r w:rsidRPr="00811088">
        <w:rPr>
          <w:rFonts w:eastAsia="MS Mincho"/>
          <w:b/>
          <w:sz w:val="24"/>
          <w:szCs w:val="22"/>
          <w:vertAlign w:val="superscript"/>
          <w:lang w:val="es-ES_tradnl" w:eastAsia="en-US"/>
        </w:rPr>
        <w:footnoteReference w:id="10"/>
      </w:r>
      <w:r w:rsidRPr="00811088">
        <w:rPr>
          <w:rFonts w:eastAsia="MS Mincho"/>
          <w:noProof/>
          <w:sz w:val="24"/>
          <w:szCs w:val="22"/>
          <w:lang w:val="es-ES_tradnl" w:eastAsia="en-US"/>
        </w:rPr>
        <w:t>:</w:t>
      </w:r>
      <w:r w:rsidRPr="00811088">
        <w:rPr>
          <w:rFonts w:eastAsia="MS Mincho"/>
          <w:sz w:val="24"/>
          <w:szCs w:val="22"/>
          <w:lang w:val="es-ES_tradnl" w:eastAsia="en-US"/>
        </w:rPr>
        <w:t xml:space="preserve"> </w:t>
      </w:r>
      <w:r w:rsidR="008734B1" w:rsidRPr="00811088">
        <w:rPr>
          <w:rFonts w:eastAsia="MS Mincho"/>
          <w:noProof/>
          <w:sz w:val="24"/>
          <w:szCs w:val="22"/>
          <w:lang w:val="es-ES_tradnl" w:eastAsia="en-US"/>
        </w:rPr>
        <w:t>comprobación de que los sistemas y controles de las adquisiciones y el inventario son adecuados para respaldar eficientemente la adquisición, el almacenamiento, el suministro y la distribución de los productos farmacéuticos y sanitarios, de conformidad con los objetivos de los programas.</w:t>
      </w:r>
      <w:r w:rsidR="008734B1" w:rsidRPr="00811088">
        <w:rPr>
          <w:rFonts w:asciiTheme="majorHAnsi" w:eastAsia="MS Mincho" w:hAnsiTheme="majorHAnsi" w:cstheme="majorHAnsi"/>
          <w:lang w:val="es"/>
        </w:rPr>
        <w:t xml:space="preserve"> </w:t>
      </w:r>
      <w:r w:rsidRPr="00811088">
        <w:rPr>
          <w:rFonts w:eastAsia="MS Mincho"/>
          <w:noProof/>
          <w:sz w:val="24"/>
          <w:szCs w:val="22"/>
          <w:lang w:val="es-ES_tradnl" w:eastAsia="en-US"/>
        </w:rPr>
        <w:t>recibidos;</w:t>
      </w:r>
      <w:r w:rsidR="00E1562E" w:rsidRPr="00811088">
        <w:rPr>
          <w:rFonts w:eastAsia="MS Mincho"/>
          <w:noProof/>
          <w:sz w:val="24"/>
          <w:szCs w:val="22"/>
          <w:lang w:val="es-ES_tradnl" w:eastAsia="en-US"/>
        </w:rPr>
        <w:t xml:space="preserve"> </w:t>
      </w:r>
      <w:r w:rsidR="008734B1" w:rsidRPr="00811088">
        <w:rPr>
          <w:rFonts w:eastAsia="MS Mincho"/>
          <w:noProof/>
          <w:sz w:val="24"/>
          <w:szCs w:val="22"/>
          <w:lang w:val="es-ES_tradnl" w:eastAsia="en-US"/>
        </w:rPr>
        <w:t>Para los productos del PPM/Wambo, la verificación cubre únicamente el almacenamiento, el suministro y la distribución de productos farmacéuticos y sanitarios</w:t>
      </w:r>
    </w:p>
    <w:p w14:paraId="26DB1661" w14:textId="74CACF36" w:rsidR="00A12D4D" w:rsidRPr="00811088" w:rsidRDefault="00A12D4D" w:rsidP="00915460">
      <w:pPr>
        <w:numPr>
          <w:ilvl w:val="0"/>
          <w:numId w:val="28"/>
        </w:numPr>
        <w:spacing w:after="120"/>
        <w:ind w:left="567"/>
        <w:jc w:val="both"/>
        <w:rPr>
          <w:rFonts w:eastAsia="MS Mincho"/>
          <w:sz w:val="24"/>
          <w:szCs w:val="22"/>
          <w:lang w:val="es-ES_tradnl" w:eastAsia="en-US"/>
        </w:rPr>
      </w:pPr>
      <w:r w:rsidRPr="00811088">
        <w:rPr>
          <w:rFonts w:eastAsia="MS Mincho"/>
          <w:b/>
          <w:sz w:val="24"/>
          <w:szCs w:val="22"/>
          <w:lang w:val="es-ES_tradnl" w:eastAsia="en-US"/>
        </w:rPr>
        <w:t>Costos de recursos humanos:</w:t>
      </w:r>
      <w:r w:rsidRPr="00811088">
        <w:rPr>
          <w:rFonts w:eastAsia="MS Mincho"/>
          <w:b/>
          <w:i/>
          <w:sz w:val="24"/>
          <w:szCs w:val="22"/>
          <w:lang w:val="es-ES_tradnl" w:eastAsia="en-US"/>
        </w:rPr>
        <w:t xml:space="preserve"> </w:t>
      </w:r>
      <w:r w:rsidR="008734B1" w:rsidRPr="00811088">
        <w:rPr>
          <w:rFonts w:asciiTheme="majorHAnsi" w:eastAsia="MS Mincho" w:hAnsiTheme="majorHAnsi" w:cstheme="majorHAnsi"/>
          <w:i/>
          <w:iCs/>
          <w:lang w:val="es"/>
        </w:rPr>
        <w:t xml:space="preserve"> </w:t>
      </w:r>
      <w:r w:rsidR="008734B1" w:rsidRPr="00811088">
        <w:rPr>
          <w:rFonts w:eastAsia="MS Mincho"/>
          <w:noProof/>
          <w:sz w:val="24"/>
          <w:szCs w:val="22"/>
          <w:lang w:val="es-ES_tradnl" w:eastAsia="en-US"/>
        </w:rPr>
        <w:t>confirmación de que todos los costos de recursos humanos imputados a la subvención se ajustan a los supuestos presupuestarios aprobados por el Fondo Mundial y están justificados por los contratos, nóminas y registros correspondientes</w:t>
      </w:r>
      <w:r w:rsidRPr="00811088">
        <w:rPr>
          <w:rFonts w:eastAsia="MS Mincho"/>
          <w:noProof/>
          <w:sz w:val="24"/>
          <w:szCs w:val="22"/>
          <w:lang w:val="es-ES_tradnl" w:eastAsia="en-US"/>
        </w:rPr>
        <w:t xml:space="preserve">  adecuados.</w:t>
      </w:r>
      <w:r w:rsidRPr="00811088">
        <w:rPr>
          <w:rFonts w:eastAsia="MS Mincho"/>
          <w:sz w:val="24"/>
          <w:szCs w:val="22"/>
          <w:lang w:val="es-ES_tradnl" w:eastAsia="en-US"/>
        </w:rPr>
        <w:t xml:space="preserve"> </w:t>
      </w:r>
    </w:p>
    <w:p w14:paraId="3DF6413C" w14:textId="77777777" w:rsidR="00A12D4D" w:rsidRPr="00811088" w:rsidRDefault="00A12D4D" w:rsidP="00915460">
      <w:pPr>
        <w:numPr>
          <w:ilvl w:val="0"/>
          <w:numId w:val="28"/>
        </w:numPr>
        <w:spacing w:after="120"/>
        <w:ind w:left="567"/>
        <w:jc w:val="both"/>
        <w:rPr>
          <w:rFonts w:eastAsia="MS Mincho"/>
          <w:sz w:val="24"/>
          <w:szCs w:val="22"/>
          <w:lang w:val="es-ES_tradnl" w:eastAsia="en-US"/>
        </w:rPr>
      </w:pPr>
      <w:r w:rsidRPr="00811088">
        <w:rPr>
          <w:rFonts w:eastAsia="MS Mincho"/>
          <w:b/>
          <w:noProof/>
          <w:sz w:val="24"/>
          <w:szCs w:val="22"/>
          <w:lang w:val="es-ES_tradnl" w:eastAsia="en-US"/>
        </w:rPr>
        <w:t>Viajes y costos relacionados:</w:t>
      </w:r>
      <w:r w:rsidRPr="00811088">
        <w:rPr>
          <w:rFonts w:eastAsia="MS Mincho"/>
          <w:b/>
          <w:i/>
          <w:noProof/>
          <w:sz w:val="24"/>
          <w:szCs w:val="22"/>
          <w:lang w:val="es-ES_tradnl" w:eastAsia="en-US"/>
        </w:rPr>
        <w:t xml:space="preserve"> </w:t>
      </w:r>
      <w:r w:rsidRPr="00811088">
        <w:rPr>
          <w:rFonts w:eastAsia="MS Mincho"/>
          <w:noProof/>
          <w:sz w:val="24"/>
          <w:szCs w:val="22"/>
          <w:lang w:val="es-ES_tradnl" w:eastAsia="en-US"/>
        </w:rPr>
        <w:t>revisión de los gastos de viaje y transporte  para determinar si</w:t>
      </w:r>
      <w:r w:rsidR="00467FC3" w:rsidRPr="00811088">
        <w:rPr>
          <w:rFonts w:eastAsia="MS Mincho"/>
          <w:noProof/>
          <w:sz w:val="24"/>
          <w:szCs w:val="22"/>
          <w:lang w:val="es-ES_tradnl" w:eastAsia="en-US"/>
        </w:rPr>
        <w:t xml:space="preserve"> se ajustan a los supuestos presupuestarios aprobados por el Fondo Mundial y están justificados y han sido aprobados con arreglo a las políticas de la entidad ejecutora.</w:t>
      </w:r>
      <w:r w:rsidRPr="00811088">
        <w:rPr>
          <w:rFonts w:eastAsia="MS Mincho"/>
          <w:noProof/>
          <w:sz w:val="24"/>
          <w:szCs w:val="22"/>
          <w:lang w:val="es-ES_tradnl" w:eastAsia="en-US"/>
        </w:rPr>
        <w:t xml:space="preserve"> aprobados.</w:t>
      </w:r>
      <w:r w:rsidRPr="00811088">
        <w:rPr>
          <w:rFonts w:eastAsia="MS Mincho"/>
          <w:sz w:val="24"/>
          <w:szCs w:val="22"/>
          <w:lang w:val="es-ES_tradnl" w:eastAsia="en-US"/>
        </w:rPr>
        <w:t xml:space="preserve">  </w:t>
      </w:r>
    </w:p>
    <w:p w14:paraId="2B3164E7" w14:textId="77777777" w:rsidR="00CA2247" w:rsidRPr="00811088" w:rsidRDefault="00CA2247" w:rsidP="00915460">
      <w:pPr>
        <w:numPr>
          <w:ilvl w:val="0"/>
          <w:numId w:val="28"/>
        </w:numPr>
        <w:spacing w:after="120"/>
        <w:ind w:left="567"/>
        <w:jc w:val="both"/>
        <w:rPr>
          <w:rFonts w:eastAsia="MS Mincho"/>
          <w:noProof/>
          <w:sz w:val="24"/>
          <w:szCs w:val="22"/>
          <w:lang w:val="es-ES_tradnl" w:eastAsia="en-US"/>
        </w:rPr>
      </w:pPr>
      <w:r w:rsidRPr="00811088">
        <w:rPr>
          <w:rFonts w:eastAsia="MS Mincho"/>
          <w:noProof/>
          <w:sz w:val="24"/>
          <w:szCs w:val="22"/>
          <w:lang w:val="es-ES_tradnl" w:eastAsia="en-US"/>
        </w:rPr>
        <w:t>Alcance adicional</w:t>
      </w:r>
      <w:r w:rsidR="00490C1C" w:rsidRPr="00811088">
        <w:rPr>
          <w:rFonts w:eastAsia="MS Mincho"/>
          <w:noProof/>
          <w:sz w:val="24"/>
          <w:szCs w:val="22"/>
          <w:lang w:val="es-ES_tradnl" w:eastAsia="en-US"/>
        </w:rPr>
        <w:t xml:space="preserve">  Ademas, el Fondo Mundial puede solicitar a los auditores que revisen cualquier otra área de interés, en cuyo caso el alcance adicional será acordado previamente entre el Fondo Mundial y los auditores.</w:t>
      </w:r>
    </w:p>
    <w:p w14:paraId="20F8BE0C" w14:textId="77777777" w:rsidR="00183BC8" w:rsidRPr="00811088" w:rsidRDefault="00183BC8" w:rsidP="00183BC8">
      <w:pPr>
        <w:pStyle w:val="ListParagraph"/>
        <w:spacing w:after="120"/>
        <w:ind w:left="1004"/>
        <w:contextualSpacing/>
        <w:jc w:val="center"/>
        <w:rPr>
          <w:rFonts w:eastAsia="MS Mincho"/>
          <w:noProof/>
          <w:sz w:val="24"/>
          <w:lang w:val="es-ES_tradnl" w:eastAsia="en-US"/>
        </w:rPr>
      </w:pPr>
      <w:r w:rsidRPr="00811088">
        <w:rPr>
          <w:rFonts w:eastAsia="MS Mincho"/>
          <w:noProof/>
          <w:sz w:val="24"/>
          <w:lang w:val="es-ES_tradnl" w:eastAsia="en-US"/>
        </w:rPr>
        <w:t>[Especificar qué área, si corresponde]</w:t>
      </w:r>
    </w:p>
    <w:p w14:paraId="019F9AD2" w14:textId="77777777" w:rsidR="00183BC8" w:rsidRPr="00811088" w:rsidRDefault="00183BC8" w:rsidP="00183BC8">
      <w:pPr>
        <w:pStyle w:val="ListParagraph"/>
        <w:spacing w:after="120"/>
        <w:ind w:left="1004"/>
        <w:contextualSpacing/>
        <w:jc w:val="center"/>
        <w:rPr>
          <w:rFonts w:eastAsia="MS Mincho"/>
          <w:noProof/>
          <w:sz w:val="24"/>
          <w:lang w:val="es-ES_tradnl" w:eastAsia="en-US"/>
        </w:rPr>
      </w:pPr>
      <w:r w:rsidRPr="00811088">
        <w:rPr>
          <w:rFonts w:eastAsia="MS Mincho"/>
          <w:noProof/>
          <w:sz w:val="24"/>
          <w:lang w:val="es-ES_tradnl" w:eastAsia="en-US"/>
        </w:rPr>
        <w:t>[Especificar qué área, si corresponde]</w:t>
      </w:r>
    </w:p>
    <w:p w14:paraId="63031033" w14:textId="77777777" w:rsidR="00183BC8" w:rsidRPr="00183BC8" w:rsidRDefault="00183BC8" w:rsidP="00183BC8">
      <w:pPr>
        <w:pStyle w:val="ListParagraph"/>
        <w:spacing w:after="120"/>
        <w:ind w:left="1440"/>
        <w:jc w:val="both"/>
        <w:rPr>
          <w:rFonts w:eastAsia="MS Mincho"/>
          <w:noProof/>
          <w:sz w:val="24"/>
          <w:lang w:val="es-ES_tradnl" w:eastAsia="en-US"/>
        </w:rPr>
      </w:pPr>
    </w:p>
    <w:p w14:paraId="0791714A" w14:textId="77777777" w:rsidR="00362D53" w:rsidRPr="00915460" w:rsidRDefault="00362D53" w:rsidP="00915460">
      <w:pPr>
        <w:pStyle w:val="Heading1"/>
        <w:numPr>
          <w:ilvl w:val="0"/>
          <w:numId w:val="39"/>
        </w:numPr>
        <w:rPr>
          <w:snapToGrid w:val="0"/>
          <w:color w:val="auto"/>
          <w:lang w:val="es-ES_tradnl" w:eastAsia="es-ES"/>
        </w:rPr>
      </w:pPr>
      <w:bookmarkStart w:id="32" w:name="_Toc49506738"/>
      <w:bookmarkStart w:id="33" w:name="_Toc109287563"/>
      <w:bookmarkStart w:id="34" w:name="_Toc5026417"/>
      <w:bookmarkStart w:id="35" w:name="_Toc19971616"/>
      <w:bookmarkStart w:id="36" w:name="_Toc19971782"/>
      <w:bookmarkStart w:id="37" w:name="_Toc19971948"/>
      <w:bookmarkStart w:id="38" w:name="_Toc19972114"/>
      <w:bookmarkStart w:id="39" w:name="_Toc19972280"/>
      <w:bookmarkStart w:id="40" w:name="_Toc19972446"/>
      <w:bookmarkStart w:id="41" w:name="_Toc20466640"/>
      <w:r w:rsidRPr="00915460">
        <w:rPr>
          <w:snapToGrid w:val="0"/>
          <w:color w:val="auto"/>
          <w:lang w:val="es-ES_tradnl" w:eastAsia="es-ES"/>
        </w:rPr>
        <w:t>Procedimientos de auditoría</w:t>
      </w:r>
      <w:bookmarkEnd w:id="32"/>
      <w:bookmarkEnd w:id="33"/>
      <w:r w:rsidRPr="00915460">
        <w:rPr>
          <w:snapToGrid w:val="0"/>
          <w:color w:val="auto"/>
          <w:lang w:val="es-ES_tradnl" w:eastAsia="es-ES"/>
        </w:rPr>
        <w:t xml:space="preserve"> </w:t>
      </w:r>
      <w:bookmarkEnd w:id="34"/>
      <w:bookmarkEnd w:id="35"/>
      <w:bookmarkEnd w:id="36"/>
      <w:bookmarkEnd w:id="37"/>
      <w:bookmarkEnd w:id="38"/>
      <w:bookmarkEnd w:id="39"/>
      <w:bookmarkEnd w:id="40"/>
      <w:bookmarkEnd w:id="41"/>
    </w:p>
    <w:p w14:paraId="71B3CD04" w14:textId="77777777" w:rsidR="00362D53" w:rsidRPr="00915460" w:rsidRDefault="00362D53" w:rsidP="00915460">
      <w:pPr>
        <w:pStyle w:val="Heading2"/>
        <w:numPr>
          <w:ilvl w:val="1"/>
          <w:numId w:val="39"/>
        </w:numPr>
        <w:rPr>
          <w:b/>
          <w:snapToGrid w:val="0"/>
          <w:color w:val="auto"/>
          <w:lang w:val="es-ES_tradnl" w:eastAsia="es-ES"/>
        </w:rPr>
      </w:pPr>
      <w:bookmarkStart w:id="42" w:name="_Toc5026418"/>
      <w:bookmarkStart w:id="43" w:name="_Toc19971617"/>
      <w:bookmarkStart w:id="44" w:name="_Toc19971783"/>
      <w:bookmarkStart w:id="45" w:name="_Toc19971949"/>
      <w:bookmarkStart w:id="46" w:name="_Toc19972115"/>
      <w:bookmarkStart w:id="47" w:name="_Toc19972281"/>
      <w:bookmarkStart w:id="48" w:name="_Toc19972447"/>
      <w:bookmarkStart w:id="49" w:name="_Toc20466641"/>
      <w:bookmarkStart w:id="50" w:name="_Toc49506739"/>
      <w:bookmarkStart w:id="51" w:name="_Toc109287564"/>
      <w:r w:rsidRPr="00915460">
        <w:rPr>
          <w:b/>
          <w:snapToGrid w:val="0"/>
          <w:color w:val="auto"/>
          <w:lang w:val="es-ES_tradnl" w:eastAsia="es-ES"/>
        </w:rPr>
        <w:t>Plan</w:t>
      </w:r>
      <w:bookmarkEnd w:id="42"/>
      <w:bookmarkEnd w:id="43"/>
      <w:bookmarkEnd w:id="44"/>
      <w:bookmarkEnd w:id="45"/>
      <w:bookmarkEnd w:id="46"/>
      <w:bookmarkEnd w:id="47"/>
      <w:bookmarkEnd w:id="48"/>
      <w:bookmarkEnd w:id="49"/>
      <w:r w:rsidRPr="00915460">
        <w:rPr>
          <w:b/>
          <w:snapToGrid w:val="0"/>
          <w:color w:val="auto"/>
          <w:lang w:val="es-ES_tradnl" w:eastAsia="es-ES"/>
        </w:rPr>
        <w:t>ificación</w:t>
      </w:r>
      <w:bookmarkEnd w:id="50"/>
      <w:bookmarkEnd w:id="51"/>
    </w:p>
    <w:p w14:paraId="19CD07F1" w14:textId="77777777" w:rsidR="00362D53" w:rsidRPr="00766AA1" w:rsidRDefault="00362D53" w:rsidP="00FF77AB">
      <w:pPr>
        <w:pStyle w:val="ListParagraph"/>
        <w:keepNext/>
        <w:keepLines/>
        <w:numPr>
          <w:ilvl w:val="2"/>
          <w:numId w:val="39"/>
        </w:numPr>
        <w:spacing w:before="120" w:after="120" w:line="240" w:lineRule="atLeast"/>
        <w:ind w:left="1794"/>
        <w:outlineLvl w:val="2"/>
        <w:rPr>
          <w:rStyle w:val="SubtleEmphasis"/>
          <w:rFonts w:eastAsia="MS Gothic"/>
          <w:b/>
          <w:color w:val="auto"/>
          <w:sz w:val="24"/>
          <w:lang w:val="es-NI"/>
        </w:rPr>
      </w:pPr>
      <w:bookmarkStart w:id="52" w:name="_Toc5026419"/>
      <w:bookmarkStart w:id="53" w:name="_Toc19971618"/>
      <w:bookmarkStart w:id="54" w:name="_Toc19971784"/>
      <w:bookmarkStart w:id="55" w:name="_Toc19971950"/>
      <w:bookmarkStart w:id="56" w:name="_Toc19972116"/>
      <w:bookmarkStart w:id="57" w:name="_Toc19972282"/>
      <w:bookmarkStart w:id="58" w:name="_Toc19972448"/>
      <w:bookmarkStart w:id="59" w:name="_Toc20466642"/>
      <w:bookmarkStart w:id="60" w:name="_Toc49506740"/>
      <w:bookmarkStart w:id="61" w:name="_Toc109287565"/>
      <w:r w:rsidRPr="00766AA1">
        <w:rPr>
          <w:rStyle w:val="SubtleEmphasis"/>
          <w:rFonts w:eastAsia="MS Gothic"/>
          <w:b/>
          <w:color w:val="auto"/>
          <w:sz w:val="24"/>
          <w:lang w:val="es-NI"/>
        </w:rPr>
        <w:t>Reunión inicial con el Receptor Principal</w:t>
      </w:r>
      <w:bookmarkEnd w:id="52"/>
      <w:bookmarkEnd w:id="53"/>
      <w:bookmarkEnd w:id="54"/>
      <w:bookmarkEnd w:id="55"/>
      <w:bookmarkEnd w:id="56"/>
      <w:bookmarkEnd w:id="57"/>
      <w:bookmarkEnd w:id="58"/>
      <w:bookmarkEnd w:id="59"/>
      <w:bookmarkEnd w:id="60"/>
      <w:bookmarkEnd w:id="61"/>
    </w:p>
    <w:p w14:paraId="69B67B32" w14:textId="77777777" w:rsidR="00362D53" w:rsidRPr="00766AA1" w:rsidRDefault="00362D53" w:rsidP="00FF77AB">
      <w:pPr>
        <w:pStyle w:val="ListParagraph"/>
        <w:spacing w:after="120"/>
        <w:ind w:right="26"/>
        <w:jc w:val="both"/>
        <w:rPr>
          <w:rFonts w:eastAsia="Calibri"/>
          <w:sz w:val="24"/>
          <w:lang w:val="es-ES_tradnl" w:eastAsia="en-US"/>
        </w:rPr>
      </w:pPr>
      <w:r w:rsidRPr="00766AA1">
        <w:rPr>
          <w:rFonts w:eastAsia="Calibri"/>
          <w:sz w:val="24"/>
          <w:lang w:val="es-ES_tradnl" w:eastAsia="en-US"/>
        </w:rPr>
        <w:t xml:space="preserve">Para cada subvención, el auditor concertará una reunión inaugural con el Receptor Principal y el agente fiscal/fiduciario, si correspondiera, </w:t>
      </w:r>
      <w:r w:rsidRPr="00766AA1">
        <w:rPr>
          <w:rFonts w:eastAsia="Calibri"/>
          <w:noProof/>
          <w:sz w:val="24"/>
          <w:lang w:val="es-ES_tradnl" w:eastAsia="en-US"/>
        </w:rPr>
        <w:t xml:space="preserve">con el fin de analizar y explicar la planificación, el trabajo de campo y la presentación de informes. El auditor explicará la naturaleza, los objetivos y el alcance de la auditoría. </w:t>
      </w:r>
    </w:p>
    <w:p w14:paraId="18A1146B" w14:textId="77777777" w:rsidR="00362D53" w:rsidRPr="00766AA1" w:rsidRDefault="00362D53" w:rsidP="00FF77AB">
      <w:pPr>
        <w:spacing w:after="120"/>
        <w:ind w:left="708"/>
        <w:jc w:val="both"/>
        <w:rPr>
          <w:rFonts w:eastAsia="Calibri"/>
          <w:sz w:val="24"/>
          <w:szCs w:val="22"/>
          <w:lang w:val="es-ES_tradnl" w:eastAsia="en-US"/>
        </w:rPr>
      </w:pPr>
      <w:r w:rsidRPr="00766AA1">
        <w:rPr>
          <w:rFonts w:eastAsia="Calibri"/>
          <w:sz w:val="24"/>
          <w:szCs w:val="22"/>
          <w:lang w:val="es-ES_tradnl" w:eastAsia="en-US"/>
        </w:rPr>
        <w:t xml:space="preserve">Durante las reuniones preparatoria e inicial, </w:t>
      </w:r>
      <w:r w:rsidRPr="00766AA1">
        <w:rPr>
          <w:rFonts w:eastAsia="Calibri"/>
          <w:noProof/>
          <w:sz w:val="24"/>
          <w:szCs w:val="22"/>
          <w:lang w:val="es-ES_tradnl" w:eastAsia="en-US"/>
        </w:rPr>
        <w:t>el auditor puede solicitar información y documentos adicionales que él /ella considere necesarios o útiles para la planificacion y el trabajo de campo de la auditoría. El auditor puede ponerse en contacto directamente con el Receptor</w:t>
      </w:r>
      <w:r w:rsidRPr="00766AA1">
        <w:rPr>
          <w:rFonts w:eastAsia="Calibri"/>
          <w:sz w:val="24"/>
          <w:szCs w:val="22"/>
          <w:lang w:val="es-ES_tradnl" w:eastAsia="en-US"/>
        </w:rPr>
        <w:t xml:space="preserve"> Principal con el fin de obtener dicha información. Para todos los países enfocados, la asistencia del Agente Local del Fondo es obligatoria. En los países centrales y de alto impacto, la participación del ALF se basará en las necesidades del Equipo de País. </w:t>
      </w:r>
      <w:bookmarkStart w:id="62" w:name="_Toc5026420"/>
      <w:bookmarkStart w:id="63" w:name="_Toc19971619"/>
      <w:bookmarkStart w:id="64" w:name="_Toc19971785"/>
      <w:bookmarkStart w:id="65" w:name="_Toc19971951"/>
      <w:bookmarkStart w:id="66" w:name="_Toc19972117"/>
      <w:bookmarkStart w:id="67" w:name="_Toc19972283"/>
      <w:bookmarkStart w:id="68" w:name="_Toc19972449"/>
      <w:bookmarkStart w:id="69" w:name="_Toc20466643"/>
    </w:p>
    <w:p w14:paraId="76990BE2" w14:textId="77777777" w:rsidR="00362D53" w:rsidRPr="00766AA1" w:rsidRDefault="00362D53" w:rsidP="00FF77AB">
      <w:pPr>
        <w:pStyle w:val="ListParagraph"/>
        <w:keepNext/>
        <w:keepLines/>
        <w:numPr>
          <w:ilvl w:val="2"/>
          <w:numId w:val="39"/>
        </w:numPr>
        <w:spacing w:before="120" w:after="120" w:line="240" w:lineRule="atLeast"/>
        <w:ind w:left="1794"/>
        <w:outlineLvl w:val="2"/>
        <w:rPr>
          <w:rStyle w:val="SubtleEmphasis"/>
          <w:rFonts w:eastAsia="MS Gothic"/>
          <w:b/>
          <w:color w:val="auto"/>
          <w:sz w:val="24"/>
          <w:lang w:val="es-NI"/>
        </w:rPr>
      </w:pPr>
      <w:bookmarkStart w:id="70" w:name="_Toc49506741"/>
      <w:bookmarkStart w:id="71" w:name="_Toc109287566"/>
      <w:r w:rsidRPr="00766AA1">
        <w:rPr>
          <w:rStyle w:val="SubtleEmphasis"/>
          <w:rFonts w:eastAsia="MS Gothic"/>
          <w:b/>
          <w:color w:val="auto"/>
          <w:sz w:val="24"/>
          <w:lang w:val="es-NI"/>
        </w:rPr>
        <w:t>Actividades de planificación, plan de auditoría y programas del plan de trabajo de auditoría</w:t>
      </w:r>
      <w:bookmarkEnd w:id="70"/>
      <w:bookmarkEnd w:id="71"/>
      <w:r w:rsidRPr="00766AA1">
        <w:rPr>
          <w:rStyle w:val="SubtleEmphasis"/>
          <w:rFonts w:eastAsia="MS Gothic"/>
          <w:b/>
          <w:color w:val="auto"/>
          <w:sz w:val="24"/>
          <w:lang w:val="es-NI"/>
        </w:rPr>
        <w:t xml:space="preserve"> </w:t>
      </w:r>
      <w:bookmarkEnd w:id="62"/>
      <w:bookmarkEnd w:id="63"/>
      <w:bookmarkEnd w:id="64"/>
      <w:bookmarkEnd w:id="65"/>
      <w:bookmarkEnd w:id="66"/>
      <w:bookmarkEnd w:id="67"/>
      <w:bookmarkEnd w:id="68"/>
      <w:bookmarkEnd w:id="69"/>
    </w:p>
    <w:p w14:paraId="6869D416" w14:textId="77777777" w:rsidR="00362D53" w:rsidRPr="00766AA1" w:rsidRDefault="00362D53" w:rsidP="00FF77AB">
      <w:pPr>
        <w:spacing w:after="120"/>
        <w:ind w:left="714"/>
        <w:jc w:val="both"/>
        <w:rPr>
          <w:rFonts w:eastAsia="Calibri"/>
          <w:sz w:val="24"/>
          <w:szCs w:val="22"/>
          <w:lang w:val="es-ES_tradnl" w:eastAsia="en-US"/>
        </w:rPr>
      </w:pPr>
      <w:r w:rsidRPr="00766AA1">
        <w:rPr>
          <w:rFonts w:eastAsia="Calibri"/>
          <w:sz w:val="24"/>
          <w:szCs w:val="22"/>
          <w:lang w:val="es-ES_tradnl" w:eastAsia="en-US"/>
        </w:rPr>
        <w:t xml:space="preserve">Para cada subvención, el auditor planificará la auditoría de modo que se lleve a cabo de una manera </w:t>
      </w:r>
      <w:r w:rsidRPr="00766AA1">
        <w:rPr>
          <w:rFonts w:eastAsia="Calibri"/>
          <w:noProof/>
          <w:sz w:val="24"/>
          <w:szCs w:val="22"/>
          <w:lang w:val="es-ES_tradnl" w:eastAsia="en-US"/>
        </w:rPr>
        <w:t xml:space="preserve">eficiente y eficaz. Una planificación adecuada implica asegurar que se dedique la atención adecuada a importantes áreas de la auditoría, que se detecten y resuelvan los problemas potenciales de manera puntual y que la auditoría esté organizada y gestionada como corresponde dentro de las fechas previstas. </w:t>
      </w:r>
    </w:p>
    <w:p w14:paraId="3EFA3AEA" w14:textId="77777777" w:rsidR="00362D53" w:rsidRPr="00766AA1" w:rsidRDefault="00362D53" w:rsidP="00FF77AB">
      <w:pPr>
        <w:spacing w:after="120"/>
        <w:ind w:left="714"/>
        <w:jc w:val="both"/>
        <w:rPr>
          <w:rFonts w:eastAsia="Calibri"/>
          <w:sz w:val="24"/>
          <w:szCs w:val="22"/>
          <w:lang w:val="es-ES_tradnl" w:eastAsia="en-US"/>
        </w:rPr>
      </w:pPr>
      <w:r w:rsidRPr="00766AA1">
        <w:rPr>
          <w:rFonts w:eastAsia="Calibri"/>
          <w:noProof/>
          <w:sz w:val="24"/>
          <w:szCs w:val="22"/>
          <w:lang w:val="es-ES_tradnl" w:eastAsia="en-US"/>
        </w:rPr>
        <w:t>La evaluación de los riesgos de incorrecciones sustanciales</w:t>
      </w:r>
      <w:r w:rsidRPr="00766AA1">
        <w:rPr>
          <w:rFonts w:eastAsia="Calibri"/>
          <w:sz w:val="24"/>
          <w:szCs w:val="22"/>
          <w:lang w:val="es-ES_tradnl" w:eastAsia="en-US"/>
        </w:rPr>
        <w:t xml:space="preserve"> a nivel de los estados financieros, y por consiguiente las respuestas generales del auditor, se ve afectada por la comprensión del auditor respecto del entorno de control. </w:t>
      </w:r>
    </w:p>
    <w:p w14:paraId="20B30491" w14:textId="77777777" w:rsidR="00362D53" w:rsidRPr="00766AA1" w:rsidRDefault="00362D53" w:rsidP="00FF77AB">
      <w:pPr>
        <w:spacing w:after="120"/>
        <w:ind w:left="714"/>
        <w:jc w:val="both"/>
        <w:rPr>
          <w:rFonts w:eastAsia="Calibri"/>
          <w:sz w:val="24"/>
          <w:szCs w:val="22"/>
          <w:lang w:val="es-ES_tradnl" w:eastAsia="en-US"/>
        </w:rPr>
      </w:pPr>
      <w:r w:rsidRPr="00766AA1">
        <w:rPr>
          <w:rFonts w:eastAsia="Calibri"/>
          <w:sz w:val="24"/>
          <w:szCs w:val="22"/>
          <w:lang w:val="es-ES_tradnl" w:eastAsia="en-US"/>
        </w:rPr>
        <w:t xml:space="preserve">El auditor debe contar con un plan de auditoría que documente el enfoque de la auditoría y principios clave de planificación de auditoria, trabajo de campo y presentación de informes. El auditor debe disponer de programas de trabajo de auditoría que detallen y documenten las pruebas y procedimientos relacionados con la auditoría. </w:t>
      </w:r>
    </w:p>
    <w:p w14:paraId="0EC2F530" w14:textId="77777777" w:rsidR="00362D53" w:rsidRPr="00766AA1" w:rsidRDefault="00362D53" w:rsidP="00FF77AB">
      <w:pPr>
        <w:spacing w:after="120"/>
        <w:ind w:left="714"/>
        <w:jc w:val="both"/>
        <w:rPr>
          <w:rFonts w:eastAsia="Calibri"/>
          <w:sz w:val="24"/>
          <w:szCs w:val="22"/>
          <w:lang w:val="es-ES_tradnl" w:eastAsia="en-US"/>
        </w:rPr>
      </w:pPr>
      <w:r w:rsidRPr="00766AA1">
        <w:rPr>
          <w:rFonts w:eastAsia="Calibri"/>
          <w:sz w:val="24"/>
          <w:szCs w:val="22"/>
          <w:lang w:val="es-ES_tradnl" w:eastAsia="en-US"/>
        </w:rPr>
        <w:t xml:space="preserve">Antes de comenzar el trabajo de campo y antes de la reunión </w:t>
      </w:r>
      <w:r w:rsidRPr="00766AA1">
        <w:rPr>
          <w:rFonts w:eastAsia="Calibri"/>
          <w:noProof/>
          <w:sz w:val="24"/>
          <w:szCs w:val="22"/>
          <w:lang w:val="es-ES_tradnl" w:eastAsia="en-US"/>
        </w:rPr>
        <w:t>inicial</w:t>
      </w:r>
      <w:r w:rsidRPr="00766AA1">
        <w:rPr>
          <w:rFonts w:eastAsia="Calibri"/>
          <w:sz w:val="24"/>
          <w:szCs w:val="22"/>
          <w:lang w:val="es-ES_tradnl" w:eastAsia="en-US"/>
        </w:rPr>
        <w:t>, el auditor debe facilitar al especialista en finanzas del Fondo Mundial</w:t>
      </w:r>
      <w:r w:rsidRPr="00766AA1">
        <w:rPr>
          <w:rFonts w:eastAsia="Calibri"/>
          <w:sz w:val="24"/>
          <w:szCs w:val="22"/>
          <w:vertAlign w:val="superscript"/>
          <w:lang w:val="es-ES_tradnl" w:eastAsia="en-US"/>
        </w:rPr>
        <w:footnoteReference w:id="11"/>
      </w:r>
      <w:r w:rsidRPr="00766AA1">
        <w:rPr>
          <w:rFonts w:eastAsia="Calibri"/>
          <w:sz w:val="24"/>
          <w:szCs w:val="22"/>
          <w:lang w:val="es-ES_tradnl" w:eastAsia="en-US"/>
        </w:rPr>
        <w:t xml:space="preserve"> y al Receptor Principal el plan de auditoría para cada subvención incluido el alcance de la revisión. Se prestará una mayor </w:t>
      </w:r>
      <w:r w:rsidR="00766AA1" w:rsidRPr="00766AA1">
        <w:rPr>
          <w:rFonts w:eastAsia="Calibri"/>
          <w:sz w:val="24"/>
          <w:szCs w:val="22"/>
          <w:lang w:val="es-ES_tradnl" w:eastAsia="en-US"/>
        </w:rPr>
        <w:t>atención</w:t>
      </w:r>
      <w:r w:rsidRPr="00766AA1">
        <w:rPr>
          <w:rFonts w:eastAsia="Calibri"/>
          <w:sz w:val="24"/>
          <w:szCs w:val="22"/>
          <w:lang w:val="es-ES_tradnl" w:eastAsia="en-US"/>
        </w:rPr>
        <w:t xml:space="preserve"> al enfoque de la auditoría en el Receptor Principal pero también en los </w:t>
      </w:r>
      <w:r w:rsidR="006A0A92" w:rsidRPr="00766AA1">
        <w:rPr>
          <w:rFonts w:eastAsia="Calibri"/>
          <w:sz w:val="24"/>
          <w:szCs w:val="22"/>
          <w:lang w:val="es-ES_tradnl" w:eastAsia="en-US"/>
        </w:rPr>
        <w:t>su</w:t>
      </w:r>
      <w:r w:rsidR="00E93D1D">
        <w:rPr>
          <w:rFonts w:eastAsia="Calibri"/>
          <w:sz w:val="24"/>
          <w:szCs w:val="22"/>
          <w:lang w:val="es-ES_tradnl" w:eastAsia="en-US"/>
        </w:rPr>
        <w:t>b</w:t>
      </w:r>
      <w:r w:rsidR="006A0A92" w:rsidRPr="00766AA1">
        <w:rPr>
          <w:rFonts w:eastAsia="Calibri"/>
          <w:sz w:val="24"/>
          <w:szCs w:val="22"/>
          <w:lang w:val="es-ES_tradnl" w:eastAsia="en-US"/>
        </w:rPr>
        <w:t xml:space="preserve"> receptores</w:t>
      </w:r>
      <w:r w:rsidRPr="00766AA1">
        <w:rPr>
          <w:rFonts w:eastAsia="Calibri"/>
          <w:sz w:val="24"/>
          <w:szCs w:val="22"/>
          <w:lang w:val="es-ES_tradnl" w:eastAsia="en-US"/>
        </w:rPr>
        <w:t xml:space="preserve"> seleccionados. </w:t>
      </w:r>
    </w:p>
    <w:p w14:paraId="6844E2FD" w14:textId="77777777" w:rsidR="00362D53" w:rsidRPr="00915460" w:rsidRDefault="00362D53" w:rsidP="00915460">
      <w:pPr>
        <w:pStyle w:val="Heading2"/>
        <w:numPr>
          <w:ilvl w:val="1"/>
          <w:numId w:val="39"/>
        </w:numPr>
        <w:rPr>
          <w:b/>
          <w:snapToGrid w:val="0"/>
          <w:color w:val="auto"/>
          <w:lang w:val="es-ES_tradnl" w:eastAsia="es-ES"/>
        </w:rPr>
      </w:pPr>
      <w:bookmarkStart w:id="72" w:name="_Toc49506742"/>
      <w:bookmarkStart w:id="73" w:name="_Toc109287567"/>
      <w:r w:rsidRPr="00915460">
        <w:rPr>
          <w:b/>
          <w:snapToGrid w:val="0"/>
          <w:color w:val="auto"/>
          <w:lang w:val="es-ES_tradnl" w:eastAsia="es-ES"/>
        </w:rPr>
        <w:t>Materialidad</w:t>
      </w:r>
      <w:bookmarkEnd w:id="72"/>
      <w:bookmarkEnd w:id="73"/>
    </w:p>
    <w:p w14:paraId="35C4F8B9" w14:textId="77777777" w:rsidR="0075191E" w:rsidRPr="00811088" w:rsidRDefault="0075191E" w:rsidP="0075191E">
      <w:pPr>
        <w:spacing w:after="120"/>
        <w:ind w:left="360"/>
        <w:jc w:val="both"/>
        <w:rPr>
          <w:rFonts w:eastAsia="Calibri"/>
          <w:noProof/>
          <w:sz w:val="24"/>
          <w:szCs w:val="22"/>
          <w:lang w:val="es-ES_tradnl" w:eastAsia="en-US"/>
        </w:rPr>
      </w:pPr>
      <w:r>
        <w:rPr>
          <w:rFonts w:eastAsia="Calibri"/>
          <w:noProof/>
          <w:sz w:val="24"/>
          <w:szCs w:val="22"/>
          <w:lang w:val="es-ES_tradnl" w:eastAsia="en-US"/>
        </w:rPr>
        <w:t xml:space="preserve"> </w:t>
      </w:r>
      <w:r w:rsidRPr="0075191E">
        <w:rPr>
          <w:rFonts w:eastAsia="Calibri"/>
          <w:noProof/>
          <w:sz w:val="24"/>
          <w:szCs w:val="22"/>
          <w:lang w:val="es-ES_tradnl" w:eastAsia="en-US"/>
        </w:rPr>
        <w:t>17.</w:t>
      </w:r>
      <w:r w:rsidRPr="0075191E">
        <w:rPr>
          <w:rFonts w:eastAsia="Calibri"/>
          <w:noProof/>
          <w:sz w:val="24"/>
          <w:szCs w:val="22"/>
          <w:lang w:val="es-ES_tradnl" w:eastAsia="en-US"/>
        </w:rPr>
        <w:tab/>
        <w:t xml:space="preserve">El auditor aplicará un enfoque de niveles de materialidad y basado en el riesgo para detectar errores e incorrecciones sustanciales en los gastos e ingresos declarados en los </w:t>
      </w:r>
      <w:r w:rsidRPr="00811088">
        <w:rPr>
          <w:rFonts w:eastAsia="Calibri"/>
          <w:noProof/>
          <w:sz w:val="24"/>
          <w:szCs w:val="22"/>
          <w:lang w:val="es-ES_tradnl" w:eastAsia="en-US"/>
        </w:rPr>
        <w:t>estados financieros de una subvención, hayan sido causados por error o fraude.</w:t>
      </w:r>
    </w:p>
    <w:p w14:paraId="6086B1DD" w14:textId="77777777" w:rsidR="0075191E" w:rsidRPr="00811088" w:rsidRDefault="0075191E" w:rsidP="0075191E">
      <w:pPr>
        <w:spacing w:after="120"/>
        <w:ind w:left="360"/>
        <w:jc w:val="both"/>
        <w:rPr>
          <w:rFonts w:eastAsia="Calibri"/>
          <w:noProof/>
          <w:sz w:val="24"/>
          <w:szCs w:val="22"/>
          <w:lang w:val="es-ES_tradnl" w:eastAsia="en-US"/>
        </w:rPr>
      </w:pPr>
      <w:r w:rsidRPr="00811088">
        <w:rPr>
          <w:rFonts w:eastAsia="Calibri"/>
          <w:noProof/>
          <w:sz w:val="24"/>
          <w:szCs w:val="22"/>
          <w:lang w:val="es-ES_tradnl" w:eastAsia="en-US"/>
        </w:rPr>
        <w:t xml:space="preserve">19. Para los fines de estos términos de referencia, el auditor debe utilizar los siguientes niveles de materialidad con el fin de evaluar las incorrecciones o errores, o si una conclusión de incumplimiento es sustancial. </w:t>
      </w:r>
    </w:p>
    <w:p w14:paraId="2A625144" w14:textId="77777777" w:rsidR="0075191E" w:rsidRPr="00811088" w:rsidRDefault="0075191E" w:rsidP="0075191E">
      <w:pPr>
        <w:spacing w:after="120"/>
        <w:ind w:left="714"/>
        <w:jc w:val="both"/>
        <w:rPr>
          <w:rFonts w:eastAsia="Calibri"/>
          <w:noProof/>
          <w:sz w:val="24"/>
          <w:szCs w:val="22"/>
          <w:lang w:val="es-ES_tradnl" w:eastAsia="en-US"/>
        </w:rPr>
      </w:pPr>
      <w:r w:rsidRPr="00811088">
        <w:rPr>
          <w:rFonts w:eastAsia="Calibri"/>
          <w:noProof/>
          <w:sz w:val="24"/>
          <w:szCs w:val="22"/>
          <w:lang w:val="es-ES_tradnl" w:eastAsia="en-US"/>
        </w:rPr>
        <w:t>a)</w:t>
      </w:r>
      <w:r w:rsidRPr="00811088">
        <w:rPr>
          <w:rFonts w:eastAsia="Calibri"/>
          <w:noProof/>
          <w:sz w:val="24"/>
          <w:szCs w:val="22"/>
          <w:lang w:val="es-ES_tradnl" w:eastAsia="en-US"/>
        </w:rPr>
        <w:tab/>
        <w:t>Un umbral de materialidad del 2% del monto total de los gastos brutos notificados con un nivel de confianza del 95% para portafolios enfocados.</w:t>
      </w:r>
    </w:p>
    <w:p w14:paraId="18D45959" w14:textId="77777777" w:rsidR="0075191E" w:rsidRDefault="0075191E" w:rsidP="0075191E">
      <w:pPr>
        <w:spacing w:after="120"/>
        <w:ind w:left="714"/>
        <w:jc w:val="both"/>
        <w:rPr>
          <w:rFonts w:eastAsia="Calibri"/>
          <w:noProof/>
          <w:sz w:val="24"/>
          <w:szCs w:val="22"/>
          <w:lang w:val="es-ES_tradnl" w:eastAsia="en-US"/>
        </w:rPr>
      </w:pPr>
      <w:r w:rsidRPr="00811088">
        <w:rPr>
          <w:rFonts w:eastAsia="Calibri"/>
          <w:noProof/>
          <w:sz w:val="24"/>
          <w:szCs w:val="22"/>
          <w:lang w:val="es-ES_tradnl" w:eastAsia="en-US"/>
        </w:rPr>
        <w:t>b)</w:t>
      </w:r>
      <w:r w:rsidRPr="00811088">
        <w:rPr>
          <w:rFonts w:eastAsia="Calibri"/>
          <w:noProof/>
          <w:sz w:val="24"/>
          <w:szCs w:val="22"/>
          <w:lang w:val="es-ES_tradnl" w:eastAsia="en-US"/>
        </w:rPr>
        <w:tab/>
        <w:t>Un umbral de materialidad del 2% del monto total del gasto brutos notificado, menos los gastos del PPM/Wambo cuando existan, con un nivel de confianza del 95% para portafolios centrales y de alto impacto.</w:t>
      </w:r>
    </w:p>
    <w:p w14:paraId="2574754A" w14:textId="77777777" w:rsidR="00362D53" w:rsidRPr="00766AA1" w:rsidRDefault="00362D53" w:rsidP="0075191E">
      <w:pPr>
        <w:spacing w:after="120"/>
        <w:jc w:val="both"/>
        <w:rPr>
          <w:rFonts w:eastAsia="Calibri"/>
          <w:noProof/>
          <w:sz w:val="24"/>
          <w:szCs w:val="22"/>
          <w:lang w:val="es-ES_tradnl" w:eastAsia="en-US"/>
        </w:rPr>
      </w:pPr>
      <w:r w:rsidRPr="00766AA1">
        <w:rPr>
          <w:rFonts w:eastAsia="Calibri"/>
          <w:noProof/>
          <w:sz w:val="24"/>
          <w:szCs w:val="22"/>
          <w:lang w:val="es-ES_tradnl" w:eastAsia="en-US"/>
        </w:rPr>
        <w:t xml:space="preserve">n fraude. </w:t>
      </w:r>
    </w:p>
    <w:p w14:paraId="7FC45612" w14:textId="77777777" w:rsidR="00362D53" w:rsidRPr="00915460" w:rsidRDefault="00362D53" w:rsidP="00915460">
      <w:pPr>
        <w:pStyle w:val="Heading2"/>
        <w:numPr>
          <w:ilvl w:val="1"/>
          <w:numId w:val="39"/>
        </w:numPr>
        <w:rPr>
          <w:b/>
          <w:snapToGrid w:val="0"/>
          <w:color w:val="auto"/>
          <w:lang w:val="es-ES_tradnl" w:eastAsia="es-ES"/>
        </w:rPr>
      </w:pPr>
      <w:bookmarkStart w:id="74" w:name="_Toc49506743"/>
      <w:bookmarkStart w:id="75" w:name="_Toc109287568"/>
      <w:r w:rsidRPr="00915460">
        <w:rPr>
          <w:b/>
          <w:snapToGrid w:val="0"/>
          <w:color w:val="auto"/>
          <w:lang w:val="es-ES_tradnl" w:eastAsia="es-ES"/>
        </w:rPr>
        <w:t>Trabajo de campo</w:t>
      </w:r>
      <w:bookmarkEnd w:id="74"/>
      <w:bookmarkEnd w:id="75"/>
    </w:p>
    <w:p w14:paraId="2A26E79A"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76" w:name="_Toc5026423"/>
      <w:bookmarkStart w:id="77" w:name="_Toc19971622"/>
      <w:bookmarkStart w:id="78" w:name="_Toc19971788"/>
      <w:bookmarkStart w:id="79" w:name="_Toc19971954"/>
      <w:bookmarkStart w:id="80" w:name="_Toc19972120"/>
      <w:bookmarkStart w:id="81" w:name="_Toc19972286"/>
      <w:bookmarkStart w:id="82" w:name="_Toc19972452"/>
      <w:bookmarkStart w:id="83" w:name="_Toc20466646"/>
      <w:r w:rsidRPr="00766AA1">
        <w:rPr>
          <w:rStyle w:val="SubtleEmphasis"/>
          <w:rFonts w:eastAsia="MS Gothic"/>
          <w:b/>
          <w:color w:val="auto"/>
          <w:sz w:val="24"/>
          <w:lang w:val="es-NI"/>
        </w:rPr>
        <w:t xml:space="preserve"> </w:t>
      </w:r>
      <w:bookmarkStart w:id="84" w:name="_Toc49506744"/>
      <w:bookmarkStart w:id="85" w:name="_Toc109287569"/>
      <w:r w:rsidRPr="00766AA1">
        <w:rPr>
          <w:rStyle w:val="SubtleEmphasis"/>
          <w:rFonts w:eastAsia="MS Gothic"/>
          <w:b/>
          <w:color w:val="auto"/>
          <w:sz w:val="24"/>
          <w:lang w:val="es-NI"/>
        </w:rPr>
        <w:t>Obtener pruebas relativas al diseño de controles y realizar comprobaciones de controles</w:t>
      </w:r>
      <w:bookmarkEnd w:id="76"/>
      <w:bookmarkEnd w:id="77"/>
      <w:bookmarkEnd w:id="78"/>
      <w:bookmarkEnd w:id="79"/>
      <w:bookmarkEnd w:id="80"/>
      <w:bookmarkEnd w:id="81"/>
      <w:bookmarkEnd w:id="82"/>
      <w:bookmarkEnd w:id="83"/>
      <w:bookmarkEnd w:id="84"/>
      <w:bookmarkEnd w:id="85"/>
    </w:p>
    <w:p w14:paraId="318FCA8D"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noProof/>
          <w:sz w:val="24"/>
          <w:szCs w:val="22"/>
          <w:lang w:val="es-ES_tradnl" w:eastAsia="en-US"/>
        </w:rPr>
        <w:t>El auditor</w:t>
      </w:r>
      <w:r w:rsidRPr="00766AA1">
        <w:rPr>
          <w:rFonts w:eastAsia="Calibri"/>
          <w:sz w:val="24"/>
          <w:szCs w:val="22"/>
          <w:lang w:val="es-ES_tradnl" w:eastAsia="en-US"/>
        </w:rPr>
        <w:t xml:space="preserve"> llevará a cabo procedimientos para </w:t>
      </w:r>
      <w:r w:rsidRPr="00766AA1">
        <w:rPr>
          <w:rFonts w:eastAsia="Calibri"/>
          <w:noProof/>
          <w:sz w:val="24"/>
          <w:szCs w:val="22"/>
          <w:lang w:val="es-ES_tradnl" w:eastAsia="en-US"/>
        </w:rPr>
        <w:t xml:space="preserve">obtener pruebas relativas al diseño de </w:t>
      </w:r>
      <w:r w:rsidRPr="00811088">
        <w:rPr>
          <w:rFonts w:eastAsia="Calibri"/>
          <w:noProof/>
          <w:sz w:val="24"/>
          <w:szCs w:val="22"/>
          <w:lang w:val="es-ES_tradnl" w:eastAsia="en-US"/>
        </w:rPr>
        <w:t>controle</w:t>
      </w:r>
      <w:r w:rsidR="00E50930" w:rsidRPr="00811088">
        <w:rPr>
          <w:rFonts w:eastAsia="Calibri"/>
          <w:noProof/>
          <w:sz w:val="24"/>
          <w:szCs w:val="22"/>
          <w:lang w:val="es-ES_tradnl" w:eastAsia="en-US"/>
        </w:rPr>
        <w:t>s</w:t>
      </w:r>
      <w:r w:rsidRPr="00811088">
        <w:rPr>
          <w:rFonts w:eastAsia="Calibri"/>
          <w:noProof/>
          <w:sz w:val="24"/>
          <w:szCs w:val="22"/>
          <w:lang w:val="es-ES_tradnl" w:eastAsia="en-US"/>
        </w:rPr>
        <w:t xml:space="preserve"> y</w:t>
      </w:r>
      <w:r w:rsidRPr="00766AA1">
        <w:rPr>
          <w:rFonts w:eastAsia="Calibri"/>
          <w:noProof/>
          <w:sz w:val="24"/>
          <w:szCs w:val="22"/>
          <w:lang w:val="es-ES_tradnl" w:eastAsia="en-US"/>
        </w:rPr>
        <w:t xml:space="preserve"> realizará comprobaciones de controles si él/ella considera que esta medida es adecuada o necesaria para el propósito de esta auditoría financiera.</w:t>
      </w:r>
    </w:p>
    <w:p w14:paraId="745A4143"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sz w:val="24"/>
          <w:szCs w:val="22"/>
          <w:lang w:val="es-ES_tradnl" w:eastAsia="en-US"/>
        </w:rPr>
        <w:t xml:space="preserve">El auditor centrará las pruebas de controles en los controles financieros clave, que se refieren a los asuntos descritos en los términos de referencia y que son pertinentes para la gestión de los riesgos. </w:t>
      </w:r>
      <w:r w:rsidRPr="00766AA1">
        <w:rPr>
          <w:rFonts w:eastAsia="Calibri"/>
          <w:noProof/>
          <w:sz w:val="24"/>
          <w:szCs w:val="22"/>
          <w:lang w:val="es-ES_tradnl" w:eastAsia="en-US"/>
        </w:rPr>
        <w:t xml:space="preserve">Las conclusiones relativas a debilidades y deficiencias importantes en el diseño o la eficacia operativa de los controles del Receptor </w:t>
      </w:r>
      <w:r w:rsidRPr="00766AA1">
        <w:rPr>
          <w:rFonts w:eastAsia="Calibri"/>
          <w:sz w:val="24"/>
          <w:szCs w:val="22"/>
          <w:lang w:val="es-ES_tradnl" w:eastAsia="en-US"/>
        </w:rPr>
        <w:t xml:space="preserve">Principal deben </w:t>
      </w:r>
      <w:r w:rsidRPr="00766AA1">
        <w:rPr>
          <w:rFonts w:eastAsia="Calibri"/>
          <w:noProof/>
          <w:sz w:val="24"/>
          <w:szCs w:val="22"/>
          <w:lang w:val="es-ES_tradnl" w:eastAsia="en-US"/>
        </w:rPr>
        <w:t>presentarse en la</w:t>
      </w:r>
      <w:r w:rsidRPr="00766AA1">
        <w:rPr>
          <w:rFonts w:eastAsia="Calibri"/>
          <w:sz w:val="24"/>
          <w:szCs w:val="22"/>
          <w:lang w:val="es-ES_tradnl" w:eastAsia="en-US"/>
        </w:rPr>
        <w:t xml:space="preserve"> carta de gestión.</w:t>
      </w:r>
    </w:p>
    <w:p w14:paraId="45869077"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sz w:val="24"/>
          <w:szCs w:val="22"/>
          <w:lang w:val="es-ES_tradnl" w:eastAsia="en-US"/>
        </w:rPr>
        <w:t xml:space="preserve">Para los países centrales, los países de alto impacto y un número determinado de países enfocados de alto riesgo, el auditor </w:t>
      </w:r>
      <w:r w:rsidRPr="00766AA1">
        <w:rPr>
          <w:rFonts w:eastAsia="Calibri"/>
          <w:b/>
          <w:sz w:val="24"/>
          <w:szCs w:val="22"/>
          <w:lang w:val="es-ES_tradnl" w:eastAsia="en-US"/>
        </w:rPr>
        <w:t>debe</w:t>
      </w:r>
      <w:r w:rsidRPr="00766AA1">
        <w:rPr>
          <w:rFonts w:eastAsia="Calibri"/>
          <w:sz w:val="24"/>
          <w:szCs w:val="22"/>
          <w:lang w:val="es-ES_tradnl" w:eastAsia="en-US"/>
        </w:rPr>
        <w:t xml:space="preserve"> revisar el marco de control interno (financiero y programático) del Receptor Principal y los </w:t>
      </w:r>
      <w:r w:rsidR="00E93D1D">
        <w:rPr>
          <w:rFonts w:eastAsia="Calibri"/>
          <w:sz w:val="24"/>
          <w:szCs w:val="22"/>
          <w:lang w:val="es-ES_tradnl" w:eastAsia="en-US"/>
        </w:rPr>
        <w:t>sub</w:t>
      </w:r>
      <w:r w:rsidR="006A0A92" w:rsidRPr="00766AA1">
        <w:rPr>
          <w:rFonts w:eastAsia="Calibri"/>
          <w:sz w:val="24"/>
          <w:szCs w:val="22"/>
          <w:lang w:val="es-ES_tradnl" w:eastAsia="en-US"/>
        </w:rPr>
        <w:t>receptores</w:t>
      </w:r>
      <w:r w:rsidRPr="00766AA1">
        <w:rPr>
          <w:rFonts w:eastAsia="Calibri"/>
          <w:sz w:val="24"/>
          <w:szCs w:val="22"/>
          <w:lang w:val="es-ES_tradnl" w:eastAsia="en-US"/>
        </w:rPr>
        <w:t xml:space="preserve"> identificados por el Equipo de País del Fondo Mundial en colaboración con el Receptor Principal e informar al respecto. A discreción del Equipo de País, dicha comprobación podría llevarse a cabo durante una </w:t>
      </w:r>
      <w:r w:rsidRPr="00766AA1">
        <w:rPr>
          <w:rFonts w:eastAsia="Calibri"/>
          <w:b/>
          <w:sz w:val="24"/>
          <w:szCs w:val="22"/>
          <w:lang w:val="es-ES_tradnl" w:eastAsia="en-US"/>
        </w:rPr>
        <w:t xml:space="preserve">auditoría provisional </w:t>
      </w:r>
      <w:r w:rsidRPr="00766AA1">
        <w:rPr>
          <w:rFonts w:eastAsia="Calibri"/>
          <w:sz w:val="24"/>
          <w:szCs w:val="22"/>
          <w:lang w:val="es-ES_tradnl" w:eastAsia="en-US"/>
        </w:rPr>
        <w:t>en el Receptor Principal.</w:t>
      </w:r>
    </w:p>
    <w:p w14:paraId="5660F913"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86" w:name="_Toc49506745"/>
      <w:bookmarkStart w:id="87" w:name="_Toc109287570"/>
      <w:bookmarkStart w:id="88" w:name="_Toc5026424"/>
      <w:bookmarkStart w:id="89" w:name="_Toc19971623"/>
      <w:bookmarkStart w:id="90" w:name="_Toc19971789"/>
      <w:bookmarkStart w:id="91" w:name="_Toc19971955"/>
      <w:bookmarkStart w:id="92" w:name="_Toc19972121"/>
      <w:bookmarkStart w:id="93" w:name="_Toc19972287"/>
      <w:bookmarkStart w:id="94" w:name="_Toc19972453"/>
      <w:bookmarkStart w:id="95" w:name="_Toc20466647"/>
      <w:r w:rsidRPr="00766AA1">
        <w:rPr>
          <w:rStyle w:val="SubtleEmphasis"/>
          <w:rFonts w:eastAsia="MS Gothic"/>
          <w:b/>
          <w:color w:val="auto"/>
          <w:sz w:val="24"/>
          <w:lang w:val="es-NI"/>
        </w:rPr>
        <w:t>Procedimientos sustanciales</w:t>
      </w:r>
      <w:bookmarkEnd w:id="86"/>
      <w:bookmarkEnd w:id="87"/>
      <w:r w:rsidRPr="00766AA1">
        <w:rPr>
          <w:rStyle w:val="SubtleEmphasis"/>
          <w:rFonts w:eastAsia="MS Gothic"/>
          <w:b/>
          <w:color w:val="auto"/>
          <w:sz w:val="24"/>
          <w:lang w:val="es-NI"/>
        </w:rPr>
        <w:t xml:space="preserve"> </w:t>
      </w:r>
      <w:bookmarkEnd w:id="88"/>
      <w:bookmarkEnd w:id="89"/>
      <w:bookmarkEnd w:id="90"/>
      <w:bookmarkEnd w:id="91"/>
      <w:bookmarkEnd w:id="92"/>
      <w:bookmarkEnd w:id="93"/>
      <w:bookmarkEnd w:id="94"/>
      <w:bookmarkEnd w:id="95"/>
    </w:p>
    <w:p w14:paraId="6140318E"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noProof/>
          <w:sz w:val="24"/>
          <w:szCs w:val="22"/>
          <w:lang w:val="es-ES_tradnl" w:eastAsia="en-US"/>
        </w:rPr>
        <w:t>El auditor debe  llevar a cabo procedimientos sustanciales sensibles a su evaluación de los riesgos de errores o incorrecciones importantes detectados en los gastos e ingresos declarados en los estados financieros del programa de subvención</w:t>
      </w:r>
      <w:r w:rsidRPr="00766AA1">
        <w:rPr>
          <w:rFonts w:eastAsia="Calibri"/>
          <w:sz w:val="24"/>
          <w:szCs w:val="22"/>
          <w:lang w:val="es-ES_tradnl" w:eastAsia="en-US"/>
        </w:rPr>
        <w:t xml:space="preserve">, </w:t>
      </w:r>
      <w:r w:rsidRPr="00766AA1">
        <w:rPr>
          <w:rFonts w:eastAsia="Calibri"/>
          <w:noProof/>
          <w:sz w:val="24"/>
          <w:szCs w:val="22"/>
          <w:lang w:val="es-ES_tradnl" w:eastAsia="en-US"/>
        </w:rPr>
        <w:t>ya sea que hayan sido causados por error o la comisión de un fraude. Los resultados de las pruebas de controles, si los hubiera, deben tomarse en consideración. El auditor debe llevar a cabo procedimientos sustanciales que cubran los asuntos descritos en los términos de referencia y que sean pertinentes para la gestión de los riesgos</w:t>
      </w:r>
      <w:r w:rsidRPr="00766AA1">
        <w:rPr>
          <w:rFonts w:eastAsia="Calibri"/>
          <w:noProof/>
          <w:sz w:val="24"/>
          <w:szCs w:val="22"/>
          <w:vertAlign w:val="superscript"/>
          <w:lang w:val="en-US" w:eastAsia="en-US"/>
        </w:rPr>
        <w:footnoteReference w:id="12"/>
      </w:r>
      <w:r w:rsidRPr="00766AA1">
        <w:rPr>
          <w:rFonts w:eastAsia="Calibri"/>
          <w:noProof/>
          <w:sz w:val="24"/>
          <w:szCs w:val="22"/>
          <w:lang w:val="es-ES_tradnl" w:eastAsia="en-US"/>
        </w:rPr>
        <w:t>.</w:t>
      </w:r>
    </w:p>
    <w:p w14:paraId="76BA04C0" w14:textId="77777777" w:rsidR="00362D53" w:rsidRPr="00766AA1" w:rsidRDefault="00362D53" w:rsidP="00766AA1">
      <w:pPr>
        <w:spacing w:after="120"/>
        <w:ind w:left="720"/>
        <w:jc w:val="both"/>
        <w:rPr>
          <w:rFonts w:eastAsia="Calibri"/>
          <w:sz w:val="24"/>
          <w:szCs w:val="22"/>
          <w:lang w:val="es-ES_tradnl" w:eastAsia="en-US"/>
        </w:rPr>
      </w:pPr>
      <w:bookmarkStart w:id="96" w:name="_Hlk5226491"/>
      <w:r w:rsidRPr="00766AA1">
        <w:rPr>
          <w:rFonts w:eastAsia="Calibri"/>
          <w:noProof/>
          <w:sz w:val="24"/>
          <w:szCs w:val="22"/>
          <w:lang w:val="es-ES_tradnl" w:eastAsia="en-US"/>
        </w:rPr>
        <w:t>En relación con el riesgo de fraude, el auditor debe cumplir con la Norma Internacional de Auditoría 240, “las responsabilidades del Auditor relativas al fraude en una auditoría de estados financieros”.</w:t>
      </w:r>
    </w:p>
    <w:p w14:paraId="595536BB"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97" w:name="_Toc49506746"/>
      <w:bookmarkStart w:id="98" w:name="_Toc109287571"/>
      <w:bookmarkEnd w:id="96"/>
      <w:r w:rsidRPr="00766AA1">
        <w:rPr>
          <w:rStyle w:val="SubtleEmphasis"/>
          <w:rFonts w:eastAsia="MS Gothic"/>
          <w:b/>
          <w:color w:val="auto"/>
          <w:sz w:val="24"/>
          <w:lang w:val="es-NI"/>
        </w:rPr>
        <w:t>Muestreo y otros medios de seleccionar elementos para pruebas</w:t>
      </w:r>
      <w:bookmarkEnd w:id="97"/>
      <w:bookmarkEnd w:id="98"/>
    </w:p>
    <w:p w14:paraId="35217CE0" w14:textId="77777777" w:rsidR="00362D53" w:rsidRPr="00766AA1" w:rsidRDefault="00362D53" w:rsidP="00766AA1">
      <w:pPr>
        <w:spacing w:after="120"/>
        <w:ind w:left="720"/>
        <w:jc w:val="both"/>
        <w:rPr>
          <w:rFonts w:eastAsia="Calibri"/>
          <w:noProof/>
          <w:sz w:val="24"/>
          <w:szCs w:val="22"/>
          <w:lang w:val="es-ES_tradnl" w:eastAsia="en-US"/>
        </w:rPr>
      </w:pPr>
      <w:r w:rsidRPr="00766AA1">
        <w:rPr>
          <w:rFonts w:eastAsia="Calibri"/>
          <w:noProof/>
          <w:sz w:val="24"/>
          <w:szCs w:val="22"/>
          <w:lang w:val="es-ES_tradnl" w:eastAsia="en-US"/>
        </w:rPr>
        <w:t xml:space="preserve">Cuando diseña y lleva a cabo pruebas de controles y pruebas sustanciales, el auditor debe aplicar un muestreo de auditoría u otros medios de selección de elementos para dichas pruebas. El muestreo de auditoría implica la aplicación de prodedimientos de auditoría a menos del 100% de elementos en una población de tanta importancia para la auditoría (por ej., una clase de transacciones o un saldo de cuenta) que todas las unidades de muestreo tengan una posibilidad de selección a fin de proporcionar al auditor una base razonable sobre la cual extraer conclusiones respecto de la poblacioón en su conjunto. </w:t>
      </w:r>
    </w:p>
    <w:p w14:paraId="60C06827" w14:textId="77777777" w:rsidR="00362D53" w:rsidRPr="00766AA1" w:rsidRDefault="00362D53" w:rsidP="00766AA1">
      <w:pPr>
        <w:spacing w:after="120"/>
        <w:ind w:left="720"/>
        <w:jc w:val="both"/>
        <w:rPr>
          <w:rFonts w:eastAsia="Calibri"/>
          <w:noProof/>
          <w:sz w:val="24"/>
          <w:szCs w:val="22"/>
          <w:lang w:val="es-ES_tradnl" w:eastAsia="en-US"/>
        </w:rPr>
      </w:pPr>
      <w:r w:rsidRPr="00766AA1">
        <w:rPr>
          <w:rFonts w:eastAsia="Calibri"/>
          <w:noProof/>
          <w:sz w:val="24"/>
          <w:szCs w:val="22"/>
          <w:lang w:val="es-ES_tradnl" w:eastAsia="en-US"/>
        </w:rPr>
        <w:t xml:space="preserve">El muestro de auditoría puede utilizarse como un enfoque estadístico o no estadístico. El auditor puede aplicar una selección crítica de elementos específicos de una población (por ej., elementos clave o de gran valor, todos los elementos que superan determinado monto, elementos destinados a obtener información o elementos para comprobar las actividades de control). </w:t>
      </w:r>
    </w:p>
    <w:p w14:paraId="506884A5" w14:textId="77777777" w:rsidR="00362D53" w:rsidRPr="00766AA1" w:rsidRDefault="00362D53" w:rsidP="00766AA1">
      <w:pPr>
        <w:spacing w:after="120"/>
        <w:ind w:left="720"/>
        <w:jc w:val="both"/>
        <w:rPr>
          <w:rFonts w:eastAsia="Calibri"/>
          <w:noProof/>
          <w:sz w:val="24"/>
          <w:szCs w:val="22"/>
          <w:lang w:val="es-ES_tradnl" w:eastAsia="en-US"/>
        </w:rPr>
      </w:pPr>
      <w:r w:rsidRPr="00766AA1">
        <w:rPr>
          <w:rFonts w:eastAsia="Calibri"/>
          <w:noProof/>
          <w:sz w:val="24"/>
          <w:szCs w:val="22"/>
          <w:lang w:val="es-ES_tradnl" w:eastAsia="en-US"/>
        </w:rPr>
        <w:t>Si bien el examen selectivo de elementos específicos representará a menudo un medio eficaz de obtener pruebas, esta medida no supone un muestreo. No es posible proyectar a toda la población los resultados de procedimientos aplicados a elementos seleccionados de esta manera; por lo tanto, el análisis selectivo de elementos específicos no aporta pruebas relativas al resto de la población. El muestreo, por otra parte, está diseñado para permitir que se extraigan conclusiones de toda una población basándose en el examen de una muestra extraída de la misma.</w:t>
      </w:r>
    </w:p>
    <w:p w14:paraId="54B59E08" w14:textId="77777777" w:rsidR="00362D53" w:rsidRPr="00766AA1" w:rsidRDefault="00362D53" w:rsidP="00766AA1">
      <w:pPr>
        <w:spacing w:after="120"/>
        <w:ind w:left="720"/>
        <w:jc w:val="both"/>
        <w:rPr>
          <w:rFonts w:eastAsia="Calibri"/>
          <w:noProof/>
          <w:sz w:val="24"/>
          <w:szCs w:val="22"/>
          <w:lang w:val="es-ES_tradnl" w:eastAsia="en-US"/>
        </w:rPr>
      </w:pPr>
      <w:r w:rsidRPr="00766AA1">
        <w:rPr>
          <w:rFonts w:eastAsia="Calibri"/>
          <w:noProof/>
          <w:sz w:val="24"/>
          <w:szCs w:val="22"/>
          <w:lang w:val="es-ES_tradnl" w:eastAsia="en-US"/>
        </w:rPr>
        <w:t xml:space="preserve">El auditor </w:t>
      </w:r>
      <w:r w:rsidRPr="00766AA1">
        <w:rPr>
          <w:rFonts w:eastAsia="Calibri"/>
          <w:b/>
          <w:noProof/>
          <w:sz w:val="24"/>
          <w:szCs w:val="22"/>
          <w:lang w:val="es-ES_tradnl" w:eastAsia="en-US"/>
        </w:rPr>
        <w:t>debe</w:t>
      </w:r>
      <w:r w:rsidRPr="00766AA1">
        <w:rPr>
          <w:rFonts w:eastAsia="Calibri"/>
          <w:noProof/>
          <w:sz w:val="24"/>
          <w:szCs w:val="22"/>
          <w:lang w:val="es-ES_tradnl" w:eastAsia="en-US"/>
        </w:rPr>
        <w:t xml:space="preserve"> </w:t>
      </w:r>
      <w:r w:rsidR="0072627E" w:rsidRPr="0072627E">
        <w:rPr>
          <w:rFonts w:eastAsia="Calibri"/>
          <w:noProof/>
          <w:sz w:val="24"/>
          <w:szCs w:val="22"/>
          <w:lang w:val="es-ES_tradnl" w:eastAsia="en-US"/>
        </w:rPr>
        <w:t>proporcionar de manera clara detalles de la cobertura de gastos por agrupación de costos y receptor, así como la metodología de selección de la muestra. Para esta labor, los auditores deben muestrear cada agrupación de costos presente en el presupuesto resumido de la subvención bajo revisión. Para fines de muestreo, el auditor debe utilizar umbrales adecuados en función de su evaluación de riesgos. El anexo 3 de estos términos de referencia debe utilizarse para documentar esta información.</w:t>
      </w:r>
    </w:p>
    <w:p w14:paraId="567C8EEB"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99" w:name="_Toc49506747"/>
      <w:bookmarkStart w:id="100" w:name="_Toc109287572"/>
      <w:bookmarkStart w:id="101" w:name="_Toc5026425"/>
      <w:bookmarkStart w:id="102" w:name="_Toc19971624"/>
      <w:bookmarkStart w:id="103" w:name="_Toc19971790"/>
      <w:bookmarkStart w:id="104" w:name="_Toc19971956"/>
      <w:bookmarkStart w:id="105" w:name="_Toc19972122"/>
      <w:bookmarkStart w:id="106" w:name="_Toc19972288"/>
      <w:bookmarkStart w:id="107" w:name="_Toc19972454"/>
      <w:bookmarkStart w:id="108" w:name="_Toc20466648"/>
      <w:r w:rsidRPr="00766AA1">
        <w:rPr>
          <w:rStyle w:val="SubtleEmphasis"/>
          <w:rFonts w:eastAsia="MS Gothic"/>
          <w:b/>
          <w:color w:val="auto"/>
          <w:sz w:val="24"/>
          <w:lang w:val="es-NI"/>
        </w:rPr>
        <w:t>Procedimientos analíticos</w:t>
      </w:r>
      <w:bookmarkEnd w:id="99"/>
      <w:bookmarkEnd w:id="100"/>
      <w:r w:rsidRPr="00766AA1">
        <w:rPr>
          <w:rStyle w:val="SubtleEmphasis"/>
          <w:rFonts w:eastAsia="MS Gothic"/>
          <w:b/>
          <w:color w:val="auto"/>
          <w:sz w:val="24"/>
          <w:lang w:val="es-NI"/>
        </w:rPr>
        <w:t xml:space="preserve"> </w:t>
      </w:r>
      <w:bookmarkEnd w:id="101"/>
      <w:bookmarkEnd w:id="102"/>
      <w:bookmarkEnd w:id="103"/>
      <w:bookmarkEnd w:id="104"/>
      <w:bookmarkEnd w:id="105"/>
      <w:bookmarkEnd w:id="106"/>
      <w:bookmarkEnd w:id="107"/>
      <w:bookmarkEnd w:id="108"/>
    </w:p>
    <w:p w14:paraId="0383AA70"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noProof/>
          <w:sz w:val="24"/>
          <w:szCs w:val="22"/>
          <w:lang w:val="es-ES_tradnl" w:eastAsia="en-US"/>
        </w:rPr>
        <w:t>El auditor debe llevar a cabo procedimientos analíticos que consisten en</w:t>
      </w:r>
      <w:r w:rsidRPr="00766AA1">
        <w:rPr>
          <w:rFonts w:eastAsia="Calibri"/>
          <w:sz w:val="24"/>
          <w:szCs w:val="22"/>
          <w:lang w:val="es-ES_tradnl" w:eastAsia="en-US"/>
        </w:rPr>
        <w:t xml:space="preserve"> verificar los datos financieros mediante la evaluación de las conexiones plausibles entre la información tanto financiera como no financiera</w:t>
      </w:r>
      <w:r w:rsidRPr="00766AA1">
        <w:rPr>
          <w:rFonts w:eastAsia="Calibri"/>
          <w:noProof/>
          <w:sz w:val="24"/>
          <w:szCs w:val="22"/>
          <w:lang w:val="es-ES_tradnl" w:eastAsia="en-US"/>
        </w:rPr>
        <w:t>.</w:t>
      </w:r>
      <w:r w:rsidRPr="00766AA1">
        <w:rPr>
          <w:rFonts w:eastAsia="Calibri"/>
          <w:sz w:val="24"/>
          <w:szCs w:val="22"/>
          <w:lang w:val="es-ES_tradnl" w:eastAsia="en-US"/>
        </w:rPr>
        <w:t xml:space="preserve"> </w:t>
      </w:r>
      <w:r w:rsidRPr="00766AA1">
        <w:rPr>
          <w:rFonts w:eastAsia="Calibri"/>
          <w:b/>
          <w:noProof/>
          <w:sz w:val="24"/>
          <w:szCs w:val="22"/>
          <w:lang w:val="es-ES_tradnl" w:eastAsia="en-US"/>
        </w:rPr>
        <w:t xml:space="preserve">La revisión analítica del gasto  real incurrido en relación al presupuesto de la subvención </w:t>
      </w:r>
      <w:r w:rsidRPr="00766AA1">
        <w:rPr>
          <w:rFonts w:eastAsia="Calibri"/>
          <w:b/>
          <w:sz w:val="24"/>
          <w:szCs w:val="22"/>
          <w:lang w:val="es-ES_tradnl" w:eastAsia="en-US"/>
        </w:rPr>
        <w:t>(presupuesto – comparaciones reales) representa una comprobación de cumplimiento fundamental</w:t>
      </w:r>
      <w:r w:rsidRPr="00766AA1">
        <w:rPr>
          <w:rFonts w:eastAsia="Calibri"/>
          <w:sz w:val="24"/>
          <w:szCs w:val="22"/>
          <w:lang w:val="es-ES_tradnl" w:eastAsia="en-US"/>
        </w:rPr>
        <w:t>.</w:t>
      </w:r>
    </w:p>
    <w:p w14:paraId="6D2E2EBA"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109" w:name="_Toc49506748"/>
      <w:bookmarkStart w:id="110" w:name="_Toc109287573"/>
      <w:bookmarkStart w:id="111" w:name="_Toc5026426"/>
      <w:bookmarkStart w:id="112" w:name="_Toc19971625"/>
      <w:bookmarkStart w:id="113" w:name="_Toc19971791"/>
      <w:bookmarkStart w:id="114" w:name="_Toc19971957"/>
      <w:bookmarkStart w:id="115" w:name="_Toc19972123"/>
      <w:bookmarkStart w:id="116" w:name="_Toc19972289"/>
      <w:bookmarkStart w:id="117" w:name="_Toc19972455"/>
      <w:bookmarkStart w:id="118" w:name="_Toc20466649"/>
      <w:r w:rsidRPr="00766AA1">
        <w:rPr>
          <w:rStyle w:val="SubtleEmphasis"/>
          <w:rFonts w:eastAsia="MS Gothic"/>
          <w:b/>
          <w:color w:val="auto"/>
          <w:sz w:val="24"/>
          <w:lang w:val="es-NI"/>
        </w:rPr>
        <w:t>Utilizar el trabajo de los auditores internos</w:t>
      </w:r>
      <w:bookmarkEnd w:id="109"/>
      <w:bookmarkEnd w:id="110"/>
      <w:r w:rsidRPr="00766AA1">
        <w:rPr>
          <w:rStyle w:val="SubtleEmphasis"/>
          <w:rFonts w:eastAsia="MS Gothic"/>
          <w:b/>
          <w:color w:val="auto"/>
          <w:sz w:val="24"/>
          <w:lang w:val="es-NI"/>
        </w:rPr>
        <w:t xml:space="preserve"> </w:t>
      </w:r>
      <w:bookmarkEnd w:id="111"/>
      <w:bookmarkEnd w:id="112"/>
      <w:bookmarkEnd w:id="113"/>
      <w:bookmarkEnd w:id="114"/>
      <w:bookmarkEnd w:id="115"/>
      <w:bookmarkEnd w:id="116"/>
      <w:bookmarkEnd w:id="117"/>
      <w:bookmarkEnd w:id="118"/>
    </w:p>
    <w:p w14:paraId="1FC37D93" w14:textId="77777777" w:rsidR="00362D53" w:rsidRPr="00766AA1" w:rsidRDefault="00362D53" w:rsidP="00766AA1">
      <w:pPr>
        <w:spacing w:after="120"/>
        <w:ind w:left="720"/>
        <w:jc w:val="both"/>
        <w:rPr>
          <w:rFonts w:eastAsia="Calibri"/>
          <w:noProof/>
          <w:sz w:val="24"/>
          <w:szCs w:val="22"/>
          <w:lang w:val="es-ES_tradnl" w:eastAsia="en-US"/>
        </w:rPr>
      </w:pPr>
      <w:r w:rsidRPr="00766AA1">
        <w:rPr>
          <w:rFonts w:eastAsia="Calibri"/>
          <w:noProof/>
          <w:sz w:val="24"/>
          <w:szCs w:val="22"/>
          <w:lang w:val="es-ES_tradnl" w:eastAsia="en-US"/>
        </w:rPr>
        <w:t xml:space="preserve">Si es pertinente para la auditoría, el auditor debe aplicar la Norma Internacional de Auditoría (ISA) 610 “Utilizar el trabajo de los auditores internos”. Si el auditor determina que se puede confiar en la función de auditoría interna para llevar a cabo la tarea, el auditor debe: </w:t>
      </w:r>
    </w:p>
    <w:p w14:paraId="29B52860" w14:textId="77777777" w:rsidR="00362D53" w:rsidRPr="00766AA1" w:rsidRDefault="00362D53" w:rsidP="00766AA1">
      <w:pPr>
        <w:numPr>
          <w:ilvl w:val="0"/>
          <w:numId w:val="31"/>
        </w:numPr>
        <w:spacing w:after="120"/>
        <w:contextualSpacing/>
        <w:jc w:val="both"/>
        <w:rPr>
          <w:rFonts w:eastAsia="Calibri"/>
          <w:sz w:val="24"/>
          <w:szCs w:val="22"/>
          <w:lang w:val="es-ES_tradnl" w:eastAsia="en-US"/>
        </w:rPr>
      </w:pPr>
      <w:r w:rsidRPr="00766AA1">
        <w:rPr>
          <w:rFonts w:eastAsia="Calibri"/>
          <w:sz w:val="24"/>
          <w:szCs w:val="22"/>
          <w:lang w:val="es-ES_tradnl" w:eastAsia="en-US"/>
        </w:rPr>
        <w:t>Evaluar el trabajo específico del auditor interno y en qué medida dicho trabajo puede ser considerado para la auditoría.</w:t>
      </w:r>
    </w:p>
    <w:p w14:paraId="25DAB8A7" w14:textId="77777777" w:rsidR="00362D53" w:rsidRPr="00766AA1" w:rsidRDefault="00362D53" w:rsidP="00766AA1">
      <w:pPr>
        <w:numPr>
          <w:ilvl w:val="0"/>
          <w:numId w:val="31"/>
        </w:numPr>
        <w:spacing w:after="120"/>
        <w:contextualSpacing/>
        <w:jc w:val="both"/>
        <w:rPr>
          <w:rFonts w:eastAsia="Calibri"/>
          <w:sz w:val="24"/>
          <w:szCs w:val="22"/>
          <w:lang w:val="es-ES_tradnl" w:eastAsia="en-US"/>
        </w:rPr>
      </w:pPr>
      <w:r w:rsidRPr="00766AA1">
        <w:rPr>
          <w:rFonts w:eastAsia="Calibri"/>
          <w:sz w:val="24"/>
          <w:szCs w:val="22"/>
          <w:lang w:val="es-ES_tradnl" w:eastAsia="en-US"/>
        </w:rPr>
        <w:t xml:space="preserve">Evaluar si el trabajo de la auditoría interna es adecuado para el objetivo de la auditoría. </w:t>
      </w:r>
    </w:p>
    <w:p w14:paraId="52EAA6F9" w14:textId="77777777" w:rsidR="00362D53" w:rsidRPr="00766AA1" w:rsidRDefault="00362D53" w:rsidP="00766AA1">
      <w:pPr>
        <w:spacing w:after="120"/>
        <w:jc w:val="both"/>
        <w:rPr>
          <w:rFonts w:eastAsia="MS Mincho"/>
          <w:sz w:val="24"/>
          <w:szCs w:val="22"/>
          <w:lang w:val="es-ES_tradnl" w:eastAsia="en-US"/>
        </w:rPr>
      </w:pPr>
    </w:p>
    <w:p w14:paraId="0F14832A"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sz w:val="24"/>
          <w:szCs w:val="22"/>
          <w:lang w:val="es-ES_tradnl" w:eastAsia="en-US"/>
        </w:rPr>
        <w:t xml:space="preserve">En el caso de que el Receptor Principal disponga de una función de auditoría interna y el auditor no confíe en la misma, se solicitará al auditor que aporte recomendaciones para mejorar la función de auditoría interna en una sección específica de la carta de gestión. </w:t>
      </w:r>
    </w:p>
    <w:p w14:paraId="20F89A88"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119" w:name="_Toc5026427"/>
      <w:bookmarkStart w:id="120" w:name="_Toc20125420"/>
      <w:bookmarkStart w:id="121" w:name="_Toc20125586"/>
      <w:bookmarkStart w:id="122" w:name="_Toc20125752"/>
      <w:bookmarkStart w:id="123" w:name="_Toc20125918"/>
      <w:bookmarkStart w:id="124" w:name="_Toc20126084"/>
      <w:bookmarkStart w:id="125" w:name="_Toc20126250"/>
      <w:bookmarkStart w:id="126" w:name="_Toc20126416"/>
      <w:bookmarkStart w:id="127" w:name="_Toc20466650"/>
      <w:bookmarkStart w:id="128" w:name="_Toc49506749"/>
      <w:bookmarkStart w:id="129" w:name="_Toc109287574"/>
      <w:r w:rsidRPr="00766AA1">
        <w:rPr>
          <w:rStyle w:val="SubtleEmphasis"/>
          <w:rFonts w:eastAsia="MS Gothic"/>
          <w:b/>
          <w:color w:val="auto"/>
          <w:sz w:val="24"/>
          <w:lang w:val="es-NI"/>
        </w:rPr>
        <w:t>Utilizar el trabajo de un expert</w:t>
      </w:r>
      <w:bookmarkEnd w:id="119"/>
      <w:bookmarkEnd w:id="120"/>
      <w:bookmarkEnd w:id="121"/>
      <w:bookmarkEnd w:id="122"/>
      <w:bookmarkEnd w:id="123"/>
      <w:bookmarkEnd w:id="124"/>
      <w:bookmarkEnd w:id="125"/>
      <w:bookmarkEnd w:id="126"/>
      <w:bookmarkEnd w:id="127"/>
      <w:r w:rsidRPr="00766AA1">
        <w:rPr>
          <w:rStyle w:val="SubtleEmphasis"/>
          <w:rFonts w:eastAsia="MS Gothic"/>
          <w:b/>
          <w:color w:val="auto"/>
          <w:sz w:val="24"/>
          <w:lang w:val="es-NI"/>
        </w:rPr>
        <w:t>o</w:t>
      </w:r>
      <w:bookmarkEnd w:id="128"/>
      <w:bookmarkEnd w:id="129"/>
    </w:p>
    <w:p w14:paraId="7C4D16B0"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noProof/>
          <w:sz w:val="24"/>
          <w:szCs w:val="22"/>
          <w:lang w:val="es-ES_tradnl" w:eastAsia="en-US"/>
        </w:rPr>
        <w:t>El auditor puede utilizar el trabajo de un individuo o una organización que demuestren tener experiencia en un campo diferente al de la contabilidad o la auditoría y que sea necesario para obtener pruebas suficientes para llegar a su conclusión. El auditor debe cumplir con la Norma Internacional de Auditoría (ISA) 620 (Utilizar el trabajo de un experto) siempre y cuando esta ISA sea pertinente para la auditoría.</w:t>
      </w:r>
    </w:p>
    <w:p w14:paraId="346C627D"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130" w:name="_Toc49506750"/>
      <w:bookmarkStart w:id="131" w:name="_Toc109287575"/>
      <w:r w:rsidRPr="00766AA1">
        <w:rPr>
          <w:rStyle w:val="SubtleEmphasis"/>
          <w:rFonts w:eastAsia="MS Gothic"/>
          <w:b/>
          <w:color w:val="auto"/>
          <w:sz w:val="24"/>
          <w:lang w:val="es-NI"/>
        </w:rPr>
        <w:t>Representaciones escritas</w:t>
      </w:r>
      <w:bookmarkEnd w:id="130"/>
      <w:bookmarkEnd w:id="131"/>
    </w:p>
    <w:p w14:paraId="3D0B1553" w14:textId="77777777" w:rsidR="00362D53" w:rsidRPr="00766AA1" w:rsidRDefault="00362D53" w:rsidP="00766AA1">
      <w:pPr>
        <w:spacing w:after="120"/>
        <w:ind w:left="720"/>
        <w:jc w:val="both"/>
        <w:rPr>
          <w:rFonts w:eastAsia="Calibri"/>
          <w:sz w:val="24"/>
          <w:szCs w:val="22"/>
          <w:lang w:val="es-ES_tradnl" w:eastAsia="en-US"/>
        </w:rPr>
      </w:pPr>
      <w:r w:rsidRPr="00766AA1">
        <w:rPr>
          <w:rFonts w:eastAsia="Calibri"/>
          <w:noProof/>
          <w:sz w:val="24"/>
          <w:szCs w:val="22"/>
          <w:lang w:val="es-ES_tradnl" w:eastAsia="en-US"/>
        </w:rPr>
        <w:t xml:space="preserve">Por el requisito estándar estipulado en la Norma Internacional de Auditoría (ISA) 580 (Representaciones escritas), la Gestión del Receptor Principal debe proporcionar al auditor una carta de representación escrita. </w:t>
      </w:r>
      <w:r w:rsidRPr="00766AA1">
        <w:rPr>
          <w:rFonts w:eastAsia="Calibri"/>
          <w:sz w:val="24"/>
          <w:szCs w:val="22"/>
          <w:lang w:val="es-ES_tradnl" w:eastAsia="en-US"/>
        </w:rPr>
        <w:t>El auditor debe solicitar una carta de representación firmada por el/los</w:t>
      </w:r>
      <w:r w:rsidR="00A1343C">
        <w:rPr>
          <w:rFonts w:eastAsia="Calibri"/>
          <w:sz w:val="24"/>
          <w:szCs w:val="22"/>
          <w:lang w:val="es-ES_tradnl" w:eastAsia="en-US"/>
        </w:rPr>
        <w:t xml:space="preserve"> </w:t>
      </w:r>
      <w:r w:rsidRPr="00766AA1">
        <w:rPr>
          <w:rFonts w:eastAsia="Calibri"/>
          <w:sz w:val="24"/>
          <w:szCs w:val="22"/>
          <w:lang w:val="es-ES_tradnl" w:eastAsia="en-US"/>
        </w:rPr>
        <w:t xml:space="preserve"> miembro(s) de la gestión del Receptor Principal, quien tiene la responsabilidad primordial de la subvención y de sus aspectos financieros. </w:t>
      </w:r>
    </w:p>
    <w:p w14:paraId="6D3DE8AB" w14:textId="77777777" w:rsidR="00362D53" w:rsidRPr="00766AA1" w:rsidRDefault="00362D53" w:rsidP="00766AA1">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132" w:name="_Toc49506751"/>
      <w:bookmarkStart w:id="133" w:name="_Toc109287576"/>
      <w:r w:rsidRPr="00766AA1">
        <w:rPr>
          <w:rStyle w:val="SubtleEmphasis"/>
          <w:rFonts w:eastAsia="MS Gothic"/>
          <w:b/>
          <w:color w:val="auto"/>
          <w:sz w:val="24"/>
          <w:lang w:val="es-NI"/>
        </w:rPr>
        <w:t>Carta complementaria</w:t>
      </w:r>
      <w:bookmarkEnd w:id="132"/>
      <w:bookmarkEnd w:id="133"/>
    </w:p>
    <w:p w14:paraId="7B13C7F3" w14:textId="77777777" w:rsidR="00362D53" w:rsidRPr="00F56B3D" w:rsidRDefault="00362D53" w:rsidP="00F56B3D">
      <w:pPr>
        <w:spacing w:after="120"/>
        <w:ind w:left="720"/>
        <w:jc w:val="both"/>
        <w:rPr>
          <w:rFonts w:eastAsia="Calibri"/>
          <w:noProof/>
          <w:sz w:val="24"/>
          <w:szCs w:val="22"/>
          <w:lang w:val="es-ES_tradnl" w:eastAsia="en-US"/>
        </w:rPr>
      </w:pPr>
      <w:r w:rsidRPr="00F56B3D">
        <w:rPr>
          <w:rFonts w:eastAsia="Calibri"/>
          <w:noProof/>
          <w:sz w:val="24"/>
          <w:szCs w:val="22"/>
          <w:lang w:val="es-ES_tradnl" w:eastAsia="en-US"/>
        </w:rPr>
        <w:t xml:space="preserve">El auditor puede elaborar, en cualquier momento durante el proceso de auditoría, una carta complementaria si él/ella considera que el Fondo Mundial debe ser informado de hechos y asuntos que son urgentes, muy poco habituales o de particular interés e importancia  para el Fondo Mundial. </w:t>
      </w:r>
    </w:p>
    <w:p w14:paraId="40EAC1C5" w14:textId="77777777" w:rsidR="00362D53" w:rsidRDefault="00362D53" w:rsidP="00F56B3D">
      <w:pPr>
        <w:spacing w:after="120"/>
        <w:ind w:left="720"/>
        <w:jc w:val="both"/>
        <w:rPr>
          <w:rFonts w:eastAsia="Calibri"/>
          <w:noProof/>
          <w:sz w:val="24"/>
          <w:szCs w:val="22"/>
          <w:lang w:val="es-ES_tradnl" w:eastAsia="en-US"/>
        </w:rPr>
      </w:pPr>
      <w:r w:rsidRPr="00F56B3D">
        <w:rPr>
          <w:rFonts w:eastAsia="Calibri"/>
          <w:noProof/>
          <w:sz w:val="24"/>
          <w:szCs w:val="22"/>
          <w:lang w:val="es-ES_tradnl" w:eastAsia="en-US"/>
        </w:rPr>
        <w:t>Por ejemplo, este podría ser el caso de cualquier fraude o irregularidad que se hayan producido o que es probable que se produzcan. El Fondo Mundial decidirá si adopta medidas de seguimiento que incluyan, si procede, poner en marcha una investigación a cargo de la Oficina del Inspector General.</w:t>
      </w:r>
    </w:p>
    <w:p w14:paraId="09186C39" w14:textId="77777777" w:rsidR="00E33079" w:rsidRPr="00F56B3D" w:rsidRDefault="00E33079" w:rsidP="00F56B3D">
      <w:pPr>
        <w:spacing w:after="120"/>
        <w:ind w:left="720"/>
        <w:jc w:val="both"/>
        <w:rPr>
          <w:rFonts w:eastAsia="Calibri"/>
          <w:noProof/>
          <w:sz w:val="24"/>
          <w:szCs w:val="22"/>
          <w:lang w:val="es-ES_tradnl" w:eastAsia="en-US"/>
        </w:rPr>
      </w:pPr>
    </w:p>
    <w:p w14:paraId="08FC8F64" w14:textId="77777777" w:rsidR="0072627E" w:rsidRPr="00E33079" w:rsidRDefault="00362D53" w:rsidP="00E33079">
      <w:pPr>
        <w:pStyle w:val="ListParagraph"/>
        <w:keepNext/>
        <w:keepLines/>
        <w:numPr>
          <w:ilvl w:val="2"/>
          <w:numId w:val="39"/>
        </w:numPr>
        <w:spacing w:before="120" w:after="120" w:line="240" w:lineRule="atLeast"/>
        <w:outlineLvl w:val="2"/>
        <w:rPr>
          <w:rFonts w:eastAsia="MS Gothic"/>
          <w:b/>
          <w:i/>
          <w:iCs/>
          <w:sz w:val="24"/>
          <w:lang w:val="es-NI"/>
        </w:rPr>
      </w:pPr>
      <w:bookmarkStart w:id="134" w:name="_Toc49506752"/>
      <w:bookmarkStart w:id="135" w:name="_Toc109287577"/>
      <w:bookmarkStart w:id="136" w:name="_Toc5026430"/>
      <w:bookmarkStart w:id="137" w:name="_Toc19971629"/>
      <w:bookmarkStart w:id="138" w:name="_Toc19971795"/>
      <w:bookmarkStart w:id="139" w:name="_Toc19971961"/>
      <w:bookmarkStart w:id="140" w:name="_Toc19972127"/>
      <w:bookmarkStart w:id="141" w:name="_Toc19972293"/>
      <w:bookmarkStart w:id="142" w:name="_Toc19972459"/>
      <w:bookmarkStart w:id="143" w:name="_Toc20466653"/>
      <w:r w:rsidRPr="00F56B3D">
        <w:rPr>
          <w:rStyle w:val="SubtleEmphasis"/>
          <w:rFonts w:eastAsia="MS Gothic"/>
          <w:b/>
          <w:color w:val="auto"/>
          <w:sz w:val="24"/>
          <w:lang w:val="es-NI"/>
        </w:rPr>
        <w:t>Memorando informativo</w:t>
      </w:r>
      <w:bookmarkEnd w:id="134"/>
      <w:bookmarkEnd w:id="135"/>
      <w:r w:rsidRPr="00F56B3D">
        <w:rPr>
          <w:rStyle w:val="SubtleEmphasis"/>
          <w:rFonts w:eastAsia="MS Gothic"/>
          <w:b/>
          <w:color w:val="auto"/>
          <w:sz w:val="24"/>
          <w:lang w:val="es-NI"/>
        </w:rPr>
        <w:t xml:space="preserve"> </w:t>
      </w:r>
      <w:bookmarkEnd w:id="136"/>
      <w:bookmarkEnd w:id="137"/>
      <w:bookmarkEnd w:id="138"/>
      <w:bookmarkEnd w:id="139"/>
      <w:bookmarkEnd w:id="140"/>
      <w:bookmarkEnd w:id="141"/>
      <w:bookmarkEnd w:id="142"/>
      <w:bookmarkEnd w:id="143"/>
    </w:p>
    <w:p w14:paraId="5C15AA25" w14:textId="77777777" w:rsidR="00362D53" w:rsidRPr="00F56B3D" w:rsidRDefault="00362D53" w:rsidP="00F56B3D">
      <w:pPr>
        <w:spacing w:after="120"/>
        <w:ind w:left="720"/>
        <w:jc w:val="both"/>
        <w:rPr>
          <w:rFonts w:eastAsia="Calibri"/>
          <w:noProof/>
          <w:sz w:val="24"/>
          <w:szCs w:val="22"/>
          <w:lang w:val="es-ES_tradnl" w:eastAsia="en-US"/>
        </w:rPr>
      </w:pPr>
      <w:r w:rsidRPr="00F56B3D">
        <w:rPr>
          <w:rFonts w:eastAsia="Calibri"/>
          <w:noProof/>
          <w:sz w:val="24"/>
          <w:szCs w:val="22"/>
          <w:lang w:val="es-ES_tradnl" w:eastAsia="en-US"/>
        </w:rPr>
        <w:t xml:space="preserve">El auditor redactará un memorando informativo </w:t>
      </w:r>
      <w:r w:rsidR="0051082A">
        <w:rPr>
          <w:rFonts w:eastAsia="Calibri"/>
          <w:noProof/>
          <w:sz w:val="24"/>
          <w:szCs w:val="22"/>
          <w:lang w:val="es-ES_tradnl" w:eastAsia="en-US"/>
        </w:rPr>
        <w:t xml:space="preserve">o </w:t>
      </w:r>
      <w:r w:rsidR="0051082A" w:rsidRPr="00811088">
        <w:rPr>
          <w:rFonts w:eastAsia="Calibri"/>
          <w:noProof/>
          <w:sz w:val="24"/>
          <w:szCs w:val="22"/>
          <w:lang w:val="es-ES_tradnl" w:eastAsia="en-US"/>
        </w:rPr>
        <w:t>el informe provisional para la sesión de clausura que proporcionará las principales conclusiones, los dictámenes de auditoría provisionales resultantes y las recomendaciones para su análisis</w:t>
      </w:r>
      <w:r w:rsidRPr="00811088">
        <w:rPr>
          <w:rFonts w:eastAsia="Calibri"/>
          <w:noProof/>
          <w:sz w:val="24"/>
          <w:szCs w:val="22"/>
          <w:lang w:val="es-ES_tradnl" w:eastAsia="en-US"/>
        </w:rPr>
        <w:t>. El</w:t>
      </w:r>
      <w:r w:rsidRPr="00F56B3D">
        <w:rPr>
          <w:rFonts w:eastAsia="Calibri"/>
          <w:noProof/>
          <w:sz w:val="24"/>
          <w:szCs w:val="22"/>
          <w:lang w:val="es-ES_tradnl" w:eastAsia="en-US"/>
        </w:rPr>
        <w:t xml:space="preserve"> Receptor Principal debe enviar una copia del memorando o del proyecto de informe al Fondo Mundial.</w:t>
      </w:r>
    </w:p>
    <w:p w14:paraId="462D3DD5" w14:textId="77777777" w:rsidR="00362D53" w:rsidRPr="00F56B3D" w:rsidRDefault="00362D53" w:rsidP="00F56B3D">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144" w:name="_Toc49506753"/>
      <w:bookmarkStart w:id="145" w:name="_Toc109287578"/>
      <w:bookmarkStart w:id="146" w:name="_Toc5026431"/>
      <w:bookmarkStart w:id="147" w:name="_Toc19971630"/>
      <w:bookmarkStart w:id="148" w:name="_Toc19971796"/>
      <w:bookmarkStart w:id="149" w:name="_Toc19971962"/>
      <w:bookmarkStart w:id="150" w:name="_Toc19972128"/>
      <w:bookmarkStart w:id="151" w:name="_Toc19972294"/>
      <w:bookmarkStart w:id="152" w:name="_Toc19972460"/>
      <w:bookmarkStart w:id="153" w:name="_Toc20466654"/>
      <w:r w:rsidRPr="00F56B3D">
        <w:rPr>
          <w:rStyle w:val="SubtleEmphasis"/>
          <w:rFonts w:eastAsia="MS Gothic"/>
          <w:b/>
          <w:color w:val="auto"/>
          <w:sz w:val="24"/>
          <w:lang w:val="es-NI"/>
        </w:rPr>
        <w:t>Reunión de clausura de la auditoría en el país</w:t>
      </w:r>
      <w:bookmarkEnd w:id="144"/>
      <w:bookmarkEnd w:id="145"/>
      <w:r w:rsidRPr="00F56B3D">
        <w:rPr>
          <w:rStyle w:val="SubtleEmphasis"/>
          <w:rFonts w:eastAsia="MS Gothic"/>
          <w:b/>
          <w:color w:val="auto"/>
          <w:sz w:val="24"/>
          <w:lang w:val="es-NI"/>
        </w:rPr>
        <w:t xml:space="preserve"> </w:t>
      </w:r>
      <w:bookmarkEnd w:id="146"/>
      <w:bookmarkEnd w:id="147"/>
      <w:bookmarkEnd w:id="148"/>
      <w:bookmarkEnd w:id="149"/>
      <w:bookmarkEnd w:id="150"/>
      <w:bookmarkEnd w:id="151"/>
      <w:bookmarkEnd w:id="152"/>
      <w:bookmarkEnd w:id="153"/>
    </w:p>
    <w:p w14:paraId="50A9FFE6" w14:textId="77777777" w:rsidR="00362D53" w:rsidRPr="00F56B3D" w:rsidRDefault="00362D53" w:rsidP="00F56B3D">
      <w:pPr>
        <w:spacing w:after="120"/>
        <w:ind w:left="720"/>
        <w:jc w:val="both"/>
        <w:rPr>
          <w:rFonts w:eastAsia="Calibri"/>
          <w:noProof/>
          <w:sz w:val="24"/>
          <w:szCs w:val="22"/>
          <w:lang w:val="es-ES_tradnl" w:eastAsia="en-US"/>
        </w:rPr>
      </w:pPr>
      <w:r w:rsidRPr="00F56B3D">
        <w:rPr>
          <w:rFonts w:eastAsia="Calibri"/>
          <w:noProof/>
          <w:sz w:val="24"/>
          <w:szCs w:val="22"/>
          <w:lang w:val="es-ES_tradnl" w:eastAsia="en-US"/>
        </w:rPr>
        <w:t xml:space="preserve">El auditor debe organizar una reunión de clausura con el Receptor Principal. El propósito de esta reunión es analizar el memorando </w:t>
      </w:r>
      <w:r w:rsidRPr="00811088">
        <w:rPr>
          <w:rFonts w:eastAsia="Calibri"/>
          <w:noProof/>
          <w:sz w:val="24"/>
          <w:szCs w:val="22"/>
          <w:lang w:val="es-ES_tradnl" w:eastAsia="en-US"/>
        </w:rPr>
        <w:t>informativo</w:t>
      </w:r>
      <w:r w:rsidR="008C73F5" w:rsidRPr="00811088">
        <w:rPr>
          <w:rFonts w:eastAsia="Calibri"/>
          <w:noProof/>
          <w:sz w:val="24"/>
          <w:szCs w:val="22"/>
          <w:lang w:val="es-ES_tradnl" w:eastAsia="en-US"/>
        </w:rPr>
        <w:t xml:space="preserve"> </w:t>
      </w:r>
      <w:r w:rsidR="00BA485B" w:rsidRPr="00811088">
        <w:rPr>
          <w:rFonts w:eastAsia="Calibri"/>
          <w:noProof/>
          <w:sz w:val="24"/>
          <w:szCs w:val="22"/>
          <w:lang w:val="es-ES_tradnl" w:eastAsia="en-US"/>
        </w:rPr>
        <w:t xml:space="preserve">o el informe provisional, </w:t>
      </w:r>
      <w:r w:rsidRPr="00811088">
        <w:rPr>
          <w:rFonts w:eastAsia="Calibri"/>
          <w:noProof/>
          <w:sz w:val="24"/>
          <w:szCs w:val="22"/>
          <w:lang w:val="es-ES_tradnl" w:eastAsia="en-US"/>
        </w:rPr>
        <w:t>y obtener la confirmación y los comentarios iniciales del Receptor Principal con respecto a las conclusiones</w:t>
      </w:r>
      <w:r w:rsidR="00BA485B" w:rsidRPr="00811088">
        <w:rPr>
          <w:rFonts w:eastAsia="Calibri"/>
          <w:noProof/>
          <w:sz w:val="24"/>
          <w:szCs w:val="22"/>
          <w:lang w:val="es-ES_tradnl" w:eastAsia="en-US"/>
        </w:rPr>
        <w:t xml:space="preserve">, opiniones </w:t>
      </w:r>
      <w:r w:rsidRPr="00811088">
        <w:rPr>
          <w:rFonts w:eastAsia="Calibri"/>
          <w:noProof/>
          <w:sz w:val="24"/>
          <w:szCs w:val="22"/>
          <w:lang w:val="es-ES_tradnl" w:eastAsia="en-US"/>
        </w:rPr>
        <w:t xml:space="preserve"> </w:t>
      </w:r>
      <w:r w:rsidR="00BA485B" w:rsidRPr="00811088">
        <w:rPr>
          <w:rFonts w:eastAsia="Calibri"/>
          <w:noProof/>
          <w:sz w:val="24"/>
          <w:szCs w:val="22"/>
          <w:lang w:val="es-ES_tradnl" w:eastAsia="en-US"/>
        </w:rPr>
        <w:t xml:space="preserve"> </w:t>
      </w:r>
      <w:r w:rsidRPr="00811088">
        <w:rPr>
          <w:rFonts w:eastAsia="Calibri"/>
          <w:noProof/>
          <w:sz w:val="24"/>
          <w:szCs w:val="22"/>
          <w:lang w:val="es-ES_tradnl" w:eastAsia="en-US"/>
        </w:rPr>
        <w:t xml:space="preserve">y recomendaciones del auditor. El auditor y el Receptor Principal pueden acordar </w:t>
      </w:r>
      <w:r w:rsidR="00BA485B" w:rsidRPr="00811088">
        <w:rPr>
          <w:rFonts w:eastAsia="Calibri"/>
          <w:noProof/>
          <w:sz w:val="24"/>
          <w:szCs w:val="22"/>
          <w:lang w:val="es-ES_tradnl" w:eastAsia="en-US"/>
        </w:rPr>
        <w:t>que i</w:t>
      </w:r>
      <w:r w:rsidRPr="00811088">
        <w:rPr>
          <w:rFonts w:eastAsia="Calibri"/>
          <w:noProof/>
          <w:sz w:val="24"/>
          <w:szCs w:val="22"/>
          <w:lang w:val="es-ES_tradnl" w:eastAsia="en-US"/>
        </w:rPr>
        <w:t>nformación pend</w:t>
      </w:r>
      <w:r w:rsidRPr="00F56B3D">
        <w:rPr>
          <w:rFonts w:eastAsia="Calibri"/>
          <w:noProof/>
          <w:sz w:val="24"/>
          <w:szCs w:val="22"/>
          <w:lang w:val="es-ES_tradnl" w:eastAsia="en-US"/>
        </w:rPr>
        <w:t xml:space="preserve">iente debe aportar el Receptor Principal y, cuando proceda, un plazo para su presentación. </w:t>
      </w:r>
    </w:p>
    <w:p w14:paraId="24CB0D7F" w14:textId="77777777" w:rsidR="00666282" w:rsidRPr="00F56B3D" w:rsidRDefault="00362D53" w:rsidP="00F56B3D">
      <w:pPr>
        <w:spacing w:after="120"/>
        <w:ind w:left="720"/>
        <w:jc w:val="both"/>
        <w:rPr>
          <w:rFonts w:eastAsia="Calibri"/>
          <w:noProof/>
          <w:sz w:val="24"/>
          <w:szCs w:val="22"/>
          <w:lang w:val="es-ES_tradnl" w:eastAsia="en-US"/>
        </w:rPr>
      </w:pPr>
      <w:r w:rsidRPr="00F56B3D">
        <w:rPr>
          <w:rFonts w:eastAsia="Calibri"/>
          <w:noProof/>
          <w:sz w:val="24"/>
          <w:szCs w:val="22"/>
          <w:lang w:val="es-ES_tradnl" w:eastAsia="en-US"/>
        </w:rPr>
        <w:t xml:space="preserve">A petición del Equipo de País del Fondo Mundial, el auditor también pondrá en conocimiento del Mecanismo de Coordinación de País las conclusiones de la auditoría. El Agente Local del Fondo, a petición del Fondo Mundial, también debe ser invitado a participar en esta reunión. Para los países enfocados la asistencia del ALF es obligatoria. </w:t>
      </w:r>
    </w:p>
    <w:p w14:paraId="1CD18D0B" w14:textId="77777777" w:rsidR="00666282" w:rsidRPr="00915460" w:rsidRDefault="00666282" w:rsidP="00915460">
      <w:pPr>
        <w:pStyle w:val="Heading1"/>
        <w:numPr>
          <w:ilvl w:val="0"/>
          <w:numId w:val="39"/>
        </w:numPr>
        <w:rPr>
          <w:snapToGrid w:val="0"/>
          <w:color w:val="auto"/>
          <w:lang w:val="es-ES_tradnl" w:eastAsia="es-ES"/>
        </w:rPr>
      </w:pPr>
      <w:bookmarkStart w:id="154" w:name="_Toc49506754"/>
      <w:bookmarkStart w:id="155" w:name="_Toc109287579"/>
      <w:bookmarkStart w:id="156" w:name="_Toc5026432"/>
      <w:bookmarkStart w:id="157" w:name="_Toc19971631"/>
      <w:bookmarkStart w:id="158" w:name="_Toc19971797"/>
      <w:bookmarkStart w:id="159" w:name="_Toc19971963"/>
      <w:bookmarkStart w:id="160" w:name="_Toc19972129"/>
      <w:bookmarkStart w:id="161" w:name="_Toc19972295"/>
      <w:bookmarkStart w:id="162" w:name="_Toc19972461"/>
      <w:bookmarkStart w:id="163" w:name="_Toc20466655"/>
      <w:r w:rsidRPr="00915460">
        <w:rPr>
          <w:snapToGrid w:val="0"/>
          <w:color w:val="auto"/>
          <w:lang w:val="es-ES_tradnl" w:eastAsia="es-ES"/>
        </w:rPr>
        <w:t>Informe e idioma del auditor</w:t>
      </w:r>
      <w:bookmarkEnd w:id="154"/>
      <w:bookmarkEnd w:id="155"/>
      <w:r w:rsidRPr="00915460">
        <w:rPr>
          <w:snapToGrid w:val="0"/>
          <w:color w:val="auto"/>
          <w:lang w:val="es-ES_tradnl" w:eastAsia="es-ES"/>
        </w:rPr>
        <w:t xml:space="preserve"> </w:t>
      </w:r>
      <w:bookmarkEnd w:id="156"/>
      <w:bookmarkEnd w:id="157"/>
      <w:bookmarkEnd w:id="158"/>
      <w:bookmarkEnd w:id="159"/>
      <w:bookmarkEnd w:id="160"/>
      <w:bookmarkEnd w:id="161"/>
      <w:bookmarkEnd w:id="162"/>
      <w:bookmarkEnd w:id="163"/>
    </w:p>
    <w:p w14:paraId="2E1C928C" w14:textId="77777777" w:rsidR="00FF77AB" w:rsidRDefault="00FF77AB" w:rsidP="00F56B3D">
      <w:pPr>
        <w:spacing w:after="120"/>
        <w:jc w:val="both"/>
        <w:rPr>
          <w:rFonts w:eastAsia="Calibri"/>
          <w:sz w:val="24"/>
          <w:lang w:val="es-ES_tradnl" w:eastAsia="en-US"/>
        </w:rPr>
      </w:pPr>
    </w:p>
    <w:p w14:paraId="192EDD81" w14:textId="77777777" w:rsidR="00666282" w:rsidRPr="00F56B3D" w:rsidRDefault="00666282" w:rsidP="00F56B3D">
      <w:pPr>
        <w:spacing w:after="120"/>
        <w:jc w:val="both"/>
        <w:rPr>
          <w:rFonts w:eastAsia="Calibri"/>
          <w:sz w:val="24"/>
          <w:lang w:val="es-ES_tradnl" w:eastAsia="en-US"/>
        </w:rPr>
      </w:pPr>
      <w:r w:rsidRPr="00F56B3D">
        <w:rPr>
          <w:rFonts w:eastAsia="Calibri"/>
          <w:sz w:val="24"/>
          <w:lang w:val="es-ES_tradnl" w:eastAsia="en-US"/>
        </w:rPr>
        <w:t xml:space="preserve">Cuando elabore el informe de auditoría para cada subvención, el auditor debe ajustarse a la plantilla correspondiente al informe de auditoría financiera facilitada en el Anexo 3 de </w:t>
      </w:r>
      <w:r w:rsidR="00F56B3D" w:rsidRPr="00F56B3D">
        <w:rPr>
          <w:rFonts w:eastAsia="Calibri"/>
          <w:sz w:val="24"/>
          <w:lang w:val="es-ES_tradnl" w:eastAsia="en-US"/>
        </w:rPr>
        <w:t>las directrices</w:t>
      </w:r>
      <w:r w:rsidRPr="00F56B3D">
        <w:rPr>
          <w:rFonts w:eastAsia="Calibri"/>
          <w:sz w:val="24"/>
          <w:lang w:val="es-ES_tradnl" w:eastAsia="en-US"/>
        </w:rPr>
        <w:t xml:space="preserve"> de auditoría. El auditor emitirá:</w:t>
      </w:r>
    </w:p>
    <w:p w14:paraId="35F44CC5"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un dictamen sobre los estados financieros consolidados de acuerdo con las disposiciones de las ISA o ISSAI. </w:t>
      </w:r>
    </w:p>
    <w:p w14:paraId="7831F02A" w14:textId="77777777" w:rsidR="00666282"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un dictamen sobre el cumplimiento por parte de la entidad ejecutora del acuerdo de subvención de acuerdo con las disposiciones de las ISA o ISSAI.</w:t>
      </w:r>
    </w:p>
    <w:p w14:paraId="2ED769DA" w14:textId="77777777" w:rsidR="00F56B3D" w:rsidRPr="00F56B3D" w:rsidRDefault="00F56B3D" w:rsidP="00F56B3D">
      <w:pPr>
        <w:spacing w:after="120"/>
        <w:ind w:left="1080"/>
        <w:contextualSpacing/>
        <w:jc w:val="both"/>
        <w:rPr>
          <w:rFonts w:eastAsia="Calibri"/>
          <w:sz w:val="24"/>
          <w:szCs w:val="22"/>
          <w:lang w:val="es-ES_tradnl" w:eastAsia="en-US"/>
        </w:rPr>
      </w:pPr>
    </w:p>
    <w:p w14:paraId="1904ADEF" w14:textId="77777777" w:rsidR="00666282" w:rsidRPr="00F56B3D" w:rsidRDefault="00666282" w:rsidP="00F56B3D">
      <w:pPr>
        <w:spacing w:after="120"/>
        <w:jc w:val="both"/>
        <w:rPr>
          <w:rFonts w:eastAsia="Calibri"/>
          <w:sz w:val="24"/>
          <w:szCs w:val="22"/>
          <w:lang w:val="es-ES_tradnl" w:eastAsia="en-US"/>
        </w:rPr>
      </w:pPr>
      <w:r w:rsidRPr="00F56B3D">
        <w:rPr>
          <w:rFonts w:eastAsia="Calibri"/>
          <w:sz w:val="24"/>
          <w:szCs w:val="22"/>
          <w:lang w:val="es-ES_tradnl" w:eastAsia="en-US"/>
        </w:rPr>
        <w:t xml:space="preserve">El informe de auditoría debe presentarse en uno de los idiomas oficiales del </w:t>
      </w:r>
      <w:r w:rsidR="00F56B3D" w:rsidRPr="00F56B3D">
        <w:rPr>
          <w:rFonts w:eastAsia="Calibri"/>
          <w:sz w:val="24"/>
          <w:szCs w:val="22"/>
          <w:lang w:val="es-ES_tradnl" w:eastAsia="en-US"/>
        </w:rPr>
        <w:t>Fondo Mundial</w:t>
      </w:r>
      <w:r w:rsidRPr="00F56B3D">
        <w:rPr>
          <w:rFonts w:eastAsia="Calibri"/>
          <w:sz w:val="24"/>
          <w:szCs w:val="22"/>
          <w:lang w:val="es-ES_tradnl" w:eastAsia="en-US"/>
        </w:rPr>
        <w:t xml:space="preserve"> según se establece en los términos de referencia. El Anexo 3 a estos términos de referencia incluye la plantilla del informe integral de auditoría que será utilizada por el auditor.</w:t>
      </w:r>
    </w:p>
    <w:p w14:paraId="63916637" w14:textId="77777777" w:rsidR="00666282" w:rsidRDefault="00666282" w:rsidP="00915460">
      <w:pPr>
        <w:pStyle w:val="Heading1"/>
        <w:numPr>
          <w:ilvl w:val="0"/>
          <w:numId w:val="39"/>
        </w:numPr>
        <w:rPr>
          <w:snapToGrid w:val="0"/>
          <w:color w:val="auto"/>
          <w:lang w:val="es-ES_tradnl" w:eastAsia="es-ES"/>
        </w:rPr>
      </w:pPr>
      <w:bookmarkStart w:id="164" w:name="_Toc49506755"/>
      <w:bookmarkStart w:id="165" w:name="_Toc109287580"/>
      <w:bookmarkStart w:id="166" w:name="_Toc5026433"/>
      <w:bookmarkStart w:id="167" w:name="_Toc19971632"/>
      <w:bookmarkStart w:id="168" w:name="_Toc19971798"/>
      <w:bookmarkStart w:id="169" w:name="_Toc19971964"/>
      <w:bookmarkStart w:id="170" w:name="_Toc19972130"/>
      <w:bookmarkStart w:id="171" w:name="_Toc19972296"/>
      <w:bookmarkStart w:id="172" w:name="_Toc19972462"/>
      <w:bookmarkStart w:id="173" w:name="_Toc20466656"/>
      <w:r w:rsidRPr="00915460">
        <w:rPr>
          <w:snapToGrid w:val="0"/>
          <w:color w:val="auto"/>
          <w:lang w:val="es-ES_tradnl" w:eastAsia="es-ES"/>
        </w:rPr>
        <w:t>Carta de gestión</w:t>
      </w:r>
      <w:bookmarkEnd w:id="164"/>
      <w:bookmarkEnd w:id="165"/>
      <w:r w:rsidRPr="00915460">
        <w:rPr>
          <w:snapToGrid w:val="0"/>
          <w:color w:val="auto"/>
          <w:lang w:val="es-ES_tradnl" w:eastAsia="es-ES"/>
        </w:rPr>
        <w:t xml:space="preserve"> </w:t>
      </w:r>
      <w:bookmarkEnd w:id="166"/>
      <w:bookmarkEnd w:id="167"/>
      <w:bookmarkEnd w:id="168"/>
      <w:bookmarkEnd w:id="169"/>
      <w:bookmarkEnd w:id="170"/>
      <w:bookmarkEnd w:id="171"/>
      <w:bookmarkEnd w:id="172"/>
      <w:bookmarkEnd w:id="173"/>
    </w:p>
    <w:p w14:paraId="5C0B3541" w14:textId="77777777" w:rsidR="009D6BA0" w:rsidRPr="009D6BA0" w:rsidRDefault="009D6BA0" w:rsidP="009D6BA0">
      <w:pPr>
        <w:rPr>
          <w:sz w:val="24"/>
          <w:lang w:val="es-ES_tradnl" w:eastAsia="es-ES"/>
        </w:rPr>
      </w:pPr>
    </w:p>
    <w:p w14:paraId="3506E052" w14:textId="77777777" w:rsidR="009D6BA0" w:rsidRPr="004339BB" w:rsidRDefault="009D6BA0" w:rsidP="009D6BA0">
      <w:pPr>
        <w:numPr>
          <w:ilvl w:val="0"/>
          <w:numId w:val="23"/>
        </w:numPr>
        <w:spacing w:before="120" w:after="120" w:line="240" w:lineRule="atLeast"/>
        <w:jc w:val="both"/>
        <w:rPr>
          <w:rFonts w:eastAsia="Calibri"/>
          <w:sz w:val="24"/>
          <w:szCs w:val="22"/>
          <w:lang w:val="es-ES_tradnl" w:eastAsia="en-US"/>
        </w:rPr>
      </w:pPr>
      <w:r w:rsidRPr="004339BB">
        <w:rPr>
          <w:rFonts w:eastAsia="Calibri"/>
          <w:sz w:val="24"/>
          <w:szCs w:val="22"/>
          <w:lang w:val="es-ES_tradnl" w:eastAsia="en-US"/>
        </w:rPr>
        <w:t xml:space="preserve">Además del informe de auditoría, el auditor elaborará una carta de gestión consolidando las conclusiones del Receptor Principal y los </w:t>
      </w:r>
      <w:r w:rsidR="00A1343C" w:rsidRPr="004339BB">
        <w:rPr>
          <w:rFonts w:eastAsia="Calibri"/>
          <w:sz w:val="24"/>
          <w:szCs w:val="22"/>
          <w:lang w:val="es-ES_tradnl" w:eastAsia="en-US"/>
        </w:rPr>
        <w:t>sub</w:t>
      </w:r>
      <w:r w:rsidR="006A0A92" w:rsidRPr="004339BB">
        <w:rPr>
          <w:rFonts w:eastAsia="Calibri"/>
          <w:sz w:val="24"/>
          <w:szCs w:val="22"/>
          <w:lang w:val="es-ES_tradnl" w:eastAsia="en-US"/>
        </w:rPr>
        <w:t>receptores</w:t>
      </w:r>
      <w:r w:rsidRPr="004339BB">
        <w:rPr>
          <w:rFonts w:eastAsia="Calibri"/>
          <w:sz w:val="24"/>
          <w:szCs w:val="22"/>
          <w:lang w:val="es-ES_tradnl" w:eastAsia="en-US"/>
        </w:rPr>
        <w:t xml:space="preserve"> clave. Los auditores deben utilizar la plantilla que figura en el anexo 4 para la carta de gestión y proporcionar la información solicitada en la estructura que se indica en esta. Algunos elementos clave son:</w:t>
      </w:r>
    </w:p>
    <w:p w14:paraId="63D87E3B" w14:textId="77777777" w:rsidR="009D6BA0" w:rsidRPr="004339BB" w:rsidRDefault="009D6BA0" w:rsidP="009D6BA0">
      <w:pPr>
        <w:numPr>
          <w:ilvl w:val="1"/>
          <w:numId w:val="31"/>
        </w:numPr>
        <w:spacing w:before="120" w:after="120" w:line="240" w:lineRule="atLeast"/>
        <w:ind w:left="1080"/>
        <w:jc w:val="both"/>
        <w:rPr>
          <w:rFonts w:eastAsia="Calibri" w:cs="Arial"/>
          <w:sz w:val="24"/>
          <w:szCs w:val="22"/>
          <w:lang w:val="es-ES" w:eastAsia="en-US"/>
        </w:rPr>
      </w:pPr>
      <w:r w:rsidRPr="004339BB">
        <w:rPr>
          <w:rFonts w:eastAsia="Calibri" w:cs="Arial"/>
          <w:sz w:val="24"/>
          <w:szCs w:val="22"/>
          <w:lang w:val="es" w:eastAsia="en-US"/>
        </w:rPr>
        <w:t xml:space="preserve">En la portada de la carta de gestión debe señalarse claramente que se trata de un documento confidencial y debe tratarse como tal. </w:t>
      </w:r>
    </w:p>
    <w:p w14:paraId="036F927A" w14:textId="77777777" w:rsidR="009D6BA0" w:rsidRPr="004339BB" w:rsidRDefault="009D6BA0" w:rsidP="009D6BA0">
      <w:pPr>
        <w:numPr>
          <w:ilvl w:val="1"/>
          <w:numId w:val="31"/>
        </w:numPr>
        <w:spacing w:before="120" w:after="120" w:line="240" w:lineRule="atLeast"/>
        <w:ind w:left="1080"/>
        <w:jc w:val="both"/>
        <w:rPr>
          <w:rFonts w:eastAsia="Calibri" w:cs="Arial"/>
          <w:sz w:val="24"/>
          <w:szCs w:val="22"/>
          <w:lang w:val="es-ES" w:eastAsia="en-US"/>
        </w:rPr>
      </w:pPr>
      <w:r w:rsidRPr="004339BB">
        <w:rPr>
          <w:rFonts w:eastAsia="Calibri" w:cs="Arial"/>
          <w:sz w:val="24"/>
          <w:szCs w:val="22"/>
          <w:lang w:val="es" w:eastAsia="en-US"/>
        </w:rPr>
        <w:t xml:space="preserve">La carta de gestión debe especificar que el auditor reconoce y acepta que la carta de gestión se compartirá con el Fondo Mundial y el Agente Local del Fondo (de forma confidencial). </w:t>
      </w:r>
    </w:p>
    <w:p w14:paraId="6A52FB27" w14:textId="77777777" w:rsidR="009D6BA0" w:rsidRPr="004339BB" w:rsidRDefault="009D6BA0" w:rsidP="009D6BA0">
      <w:pPr>
        <w:numPr>
          <w:ilvl w:val="1"/>
          <w:numId w:val="31"/>
        </w:numPr>
        <w:autoSpaceDE w:val="0"/>
        <w:autoSpaceDN w:val="0"/>
        <w:adjustRightInd w:val="0"/>
        <w:spacing w:before="120" w:after="120" w:line="240" w:lineRule="atLeast"/>
        <w:ind w:left="1080"/>
        <w:jc w:val="both"/>
        <w:rPr>
          <w:rFonts w:eastAsia="Calibri" w:cs="Arial"/>
          <w:color w:val="0000FF"/>
          <w:sz w:val="24"/>
          <w:szCs w:val="22"/>
          <w:u w:val="single"/>
          <w:lang w:val="es-ES" w:eastAsia="en-US"/>
        </w:rPr>
      </w:pPr>
      <w:r w:rsidRPr="004339BB">
        <w:rPr>
          <w:rFonts w:eastAsia="Calibri" w:cs="Arial"/>
          <w:sz w:val="24"/>
          <w:szCs w:val="22"/>
          <w:lang w:val="es" w:eastAsia="en-US"/>
        </w:rPr>
        <w:t>La carta de gestión debe utilizar un sistema de puntos de calificación en función del nivel de gravedad con arreglo a lo dispuesto en las</w:t>
      </w:r>
      <w:r w:rsidRPr="004339BB">
        <w:rPr>
          <w:rFonts w:eastAsia="Calibri" w:cs="Arial"/>
          <w:noProof/>
          <w:sz w:val="24"/>
          <w:szCs w:val="22"/>
          <w:lang w:val="es" w:eastAsia="en-US"/>
        </w:rPr>
        <w:t xml:space="preserve"> </w:t>
      </w:r>
      <w:hyperlink r:id="rId26" w:history="1">
        <w:r w:rsidRPr="004339BB">
          <w:rPr>
            <w:rFonts w:eastAsia="Calibri" w:cs="Arial"/>
            <w:noProof/>
            <w:color w:val="0000FF"/>
            <w:sz w:val="24"/>
            <w:szCs w:val="22"/>
            <w:u w:val="single"/>
            <w:lang w:val="es" w:eastAsia="en-US"/>
          </w:rPr>
          <w:t>Directrices sobre</w:t>
        </w:r>
        <w:r w:rsidRPr="004339BB">
          <w:rPr>
            <w:rFonts w:eastAsia="Calibri" w:cs="Arial"/>
            <w:color w:val="0000FF"/>
            <w:sz w:val="24"/>
            <w:szCs w:val="22"/>
            <w:u w:val="single"/>
            <w:lang w:val="es" w:eastAsia="en-US"/>
          </w:rPr>
          <w:t xml:space="preserve"> las auditorías anuales de los estados financieros del programa de subvenciones del Fondo Mundial.</w:t>
        </w:r>
      </w:hyperlink>
    </w:p>
    <w:p w14:paraId="0C7A0726" w14:textId="77777777" w:rsidR="009D6BA0" w:rsidRPr="004339BB" w:rsidRDefault="009D6BA0" w:rsidP="009D6BA0">
      <w:pPr>
        <w:numPr>
          <w:ilvl w:val="1"/>
          <w:numId w:val="31"/>
        </w:numPr>
        <w:spacing w:before="120" w:after="120" w:line="240" w:lineRule="atLeast"/>
        <w:ind w:left="1080"/>
        <w:jc w:val="both"/>
        <w:rPr>
          <w:rFonts w:eastAsia="Calibri" w:cs="Arial"/>
          <w:sz w:val="24"/>
          <w:szCs w:val="22"/>
          <w:lang w:val="es-ES" w:eastAsia="en-US"/>
        </w:rPr>
      </w:pPr>
      <w:r w:rsidRPr="004339BB">
        <w:rPr>
          <w:rFonts w:eastAsia="Calibri" w:cs="Arial"/>
          <w:sz w:val="24"/>
          <w:szCs w:val="22"/>
          <w:lang w:val="es" w:eastAsia="en-US"/>
        </w:rPr>
        <w:t>Para más orientación se deben consultar los siguientes recursos del Consejo de Normas Internacionales de Auditoría y Asesoramiento (IAASB):</w:t>
      </w:r>
    </w:p>
    <w:p w14:paraId="4070F992" w14:textId="77777777" w:rsidR="009D6BA0" w:rsidRPr="004339BB" w:rsidRDefault="009D6BA0" w:rsidP="009D6BA0">
      <w:pPr>
        <w:numPr>
          <w:ilvl w:val="2"/>
          <w:numId w:val="31"/>
        </w:numPr>
        <w:autoSpaceDE w:val="0"/>
        <w:autoSpaceDN w:val="0"/>
        <w:adjustRightInd w:val="0"/>
        <w:spacing w:before="120" w:after="120" w:line="240" w:lineRule="atLeast"/>
        <w:ind w:left="1800"/>
        <w:jc w:val="both"/>
        <w:rPr>
          <w:rFonts w:eastAsia="Calibri" w:cs="Arial"/>
          <w:sz w:val="24"/>
          <w:szCs w:val="22"/>
          <w:lang w:val="es-ES" w:eastAsia="en-US"/>
        </w:rPr>
      </w:pPr>
      <w:r w:rsidRPr="004339BB">
        <w:rPr>
          <w:rFonts w:eastAsia="Calibri" w:cs="Arial"/>
          <w:sz w:val="24"/>
          <w:szCs w:val="22"/>
          <w:lang w:val="es" w:eastAsia="en-US"/>
        </w:rPr>
        <w:t>Normas para comunicar problemas de la carta de gestión a los responsables de la gobernanza de una entidad: http://web.ifac.org/download/ISA_260_standalone_2009_Handbook.pdf</w:t>
      </w:r>
    </w:p>
    <w:p w14:paraId="49233BCB" w14:textId="77777777" w:rsidR="009D6BA0" w:rsidRPr="004339BB" w:rsidRDefault="009D6BA0" w:rsidP="009D6BA0">
      <w:pPr>
        <w:numPr>
          <w:ilvl w:val="3"/>
          <w:numId w:val="31"/>
        </w:numPr>
        <w:autoSpaceDE w:val="0"/>
        <w:autoSpaceDN w:val="0"/>
        <w:adjustRightInd w:val="0"/>
        <w:spacing w:before="120" w:after="120" w:line="240" w:lineRule="atLeast"/>
        <w:ind w:left="2520"/>
        <w:jc w:val="both"/>
        <w:rPr>
          <w:rFonts w:eastAsia="Calibri" w:cs="Arial"/>
          <w:sz w:val="24"/>
          <w:szCs w:val="22"/>
          <w:lang w:val="es-ES" w:eastAsia="en-US"/>
        </w:rPr>
      </w:pPr>
      <w:r w:rsidRPr="004339BB">
        <w:rPr>
          <w:rFonts w:eastAsia="Calibri" w:cs="Arial"/>
          <w:sz w:val="24"/>
          <w:szCs w:val="22"/>
          <w:lang w:val="es" w:eastAsia="en-US"/>
        </w:rPr>
        <w:t>también las normas para informar de deficiencias en el control interno:</w:t>
      </w:r>
    </w:p>
    <w:p w14:paraId="67B9A7D8" w14:textId="77777777" w:rsidR="009D6BA0" w:rsidRPr="004339BB" w:rsidRDefault="009D6BA0" w:rsidP="009D6BA0">
      <w:pPr>
        <w:numPr>
          <w:ilvl w:val="3"/>
          <w:numId w:val="31"/>
        </w:numPr>
        <w:autoSpaceDE w:val="0"/>
        <w:autoSpaceDN w:val="0"/>
        <w:adjustRightInd w:val="0"/>
        <w:spacing w:before="120" w:after="120" w:line="240" w:lineRule="atLeast"/>
        <w:ind w:left="2520"/>
        <w:jc w:val="both"/>
        <w:rPr>
          <w:rFonts w:eastAsia="Calibri" w:cs="Arial"/>
          <w:sz w:val="24"/>
          <w:szCs w:val="22"/>
          <w:lang w:val="es-ES" w:eastAsia="en-US"/>
        </w:rPr>
      </w:pPr>
      <w:r w:rsidRPr="004339BB">
        <w:rPr>
          <w:rFonts w:eastAsia="Calibri" w:cs="Arial"/>
          <w:sz w:val="24"/>
          <w:szCs w:val="22"/>
          <w:lang w:val="es" w:eastAsia="en-US"/>
        </w:rPr>
        <w:t>http://web.ifac.org/download/ISA_265_standalone_2009_Handbook.pdf.</w:t>
      </w:r>
    </w:p>
    <w:p w14:paraId="58690626" w14:textId="77777777" w:rsidR="009D6BA0" w:rsidRPr="004339BB" w:rsidRDefault="009D6BA0" w:rsidP="009D6BA0">
      <w:pPr>
        <w:numPr>
          <w:ilvl w:val="2"/>
          <w:numId w:val="31"/>
        </w:numPr>
        <w:spacing w:before="120" w:after="120" w:line="240" w:lineRule="atLeast"/>
        <w:ind w:left="1800"/>
        <w:jc w:val="both"/>
        <w:rPr>
          <w:rFonts w:eastAsia="Calibri" w:cs="Arial"/>
          <w:sz w:val="24"/>
          <w:szCs w:val="22"/>
          <w:lang w:val="es-ES" w:eastAsia="en-US"/>
        </w:rPr>
      </w:pPr>
      <w:r w:rsidRPr="004339BB">
        <w:rPr>
          <w:rFonts w:eastAsia="Calibri" w:cs="Arial"/>
          <w:sz w:val="24"/>
          <w:szCs w:val="22"/>
          <w:lang w:val="es" w:eastAsia="en-US"/>
        </w:rPr>
        <w:t xml:space="preserve">En el caso de auditores del sector público o del gobierno (es decir, la Institución Máxima de Auditoría), las directrices pueden extraerse de las normas de INTOSAI (véase el capítulo 4 del Código de Ética y Normas de Auditoría de INTOSAI, titulado Normas para la presentación de informes en auditorías gubernamentales, que se puede encontrar en </w:t>
      </w:r>
      <w:hyperlink r:id="rId27" w:history="1">
        <w:r w:rsidRPr="004339BB">
          <w:rPr>
            <w:rFonts w:eastAsia="Arial" w:cs="Arial"/>
            <w:color w:val="0563C1"/>
            <w:sz w:val="24"/>
            <w:szCs w:val="22"/>
            <w:u w:val="single"/>
            <w:lang w:val="es" w:eastAsia="en-US"/>
          </w:rPr>
          <w:t>https://www.intosai.org/</w:t>
        </w:r>
      </w:hyperlink>
      <w:r w:rsidRPr="004339BB">
        <w:rPr>
          <w:rFonts w:eastAsia="Calibri" w:cs="Arial"/>
          <w:sz w:val="24"/>
          <w:szCs w:val="22"/>
          <w:lang w:val="es" w:eastAsia="en-US"/>
        </w:rPr>
        <w:t>)</w:t>
      </w:r>
    </w:p>
    <w:p w14:paraId="501DC33C" w14:textId="77777777" w:rsidR="009D6BA0" w:rsidRPr="004339BB" w:rsidRDefault="009D6BA0" w:rsidP="009D6BA0">
      <w:pPr>
        <w:rPr>
          <w:lang w:val="es-ES_tradnl" w:eastAsia="es-ES"/>
        </w:rPr>
      </w:pPr>
    </w:p>
    <w:p w14:paraId="20D7B010" w14:textId="77777777" w:rsidR="00FF77AB" w:rsidRPr="004339BB" w:rsidRDefault="00FF77AB" w:rsidP="00F56B3D">
      <w:pPr>
        <w:spacing w:after="120"/>
        <w:jc w:val="both"/>
        <w:rPr>
          <w:rFonts w:eastAsia="Calibri"/>
          <w:sz w:val="24"/>
          <w:szCs w:val="22"/>
          <w:lang w:val="es-ES_tradnl" w:eastAsia="en-US"/>
        </w:rPr>
      </w:pPr>
    </w:p>
    <w:p w14:paraId="0D8A126F" w14:textId="77777777" w:rsidR="00666282" w:rsidRDefault="00666282" w:rsidP="00F56B3D">
      <w:pPr>
        <w:spacing w:after="120"/>
        <w:jc w:val="both"/>
        <w:rPr>
          <w:rFonts w:eastAsia="Calibri"/>
          <w:sz w:val="24"/>
          <w:szCs w:val="22"/>
          <w:lang w:val="es-ES_tradnl" w:eastAsia="en-US"/>
        </w:rPr>
      </w:pPr>
      <w:r w:rsidRPr="00A1343C">
        <w:rPr>
          <w:rFonts w:eastAsia="Calibri"/>
          <w:sz w:val="24"/>
          <w:szCs w:val="22"/>
          <w:lang w:val="es-ES_tradnl" w:eastAsia="en-US"/>
        </w:rPr>
        <w:t xml:space="preserve">Además del informe de auditoría, el auditor elaborará una carta de gestión a para cada subvención en el portafolio consolidando las conclusiones del Receptor Principal y los </w:t>
      </w:r>
      <w:r w:rsidR="006A0A92" w:rsidRPr="00A1343C">
        <w:rPr>
          <w:rFonts w:eastAsia="Calibri"/>
          <w:sz w:val="24"/>
          <w:szCs w:val="22"/>
          <w:lang w:val="es-ES_tradnl" w:eastAsia="en-US"/>
        </w:rPr>
        <w:t>su</w:t>
      </w:r>
      <w:r w:rsidR="00A1343C">
        <w:rPr>
          <w:rFonts w:eastAsia="Calibri"/>
          <w:sz w:val="24"/>
          <w:szCs w:val="22"/>
          <w:lang w:val="es-ES_tradnl" w:eastAsia="en-US"/>
        </w:rPr>
        <w:t>b</w:t>
      </w:r>
      <w:r w:rsidR="006A0A92" w:rsidRPr="00A1343C">
        <w:rPr>
          <w:rFonts w:eastAsia="Calibri"/>
          <w:sz w:val="24"/>
          <w:szCs w:val="22"/>
          <w:lang w:val="es-ES_tradnl" w:eastAsia="en-US"/>
        </w:rPr>
        <w:t xml:space="preserve"> receptores</w:t>
      </w:r>
      <w:r w:rsidRPr="00A1343C">
        <w:rPr>
          <w:rFonts w:eastAsia="Calibri"/>
          <w:sz w:val="24"/>
          <w:szCs w:val="22"/>
          <w:lang w:val="es-ES_tradnl" w:eastAsia="en-US"/>
        </w:rPr>
        <w:t>. La carta de gestión no solo debe proporcionar una respuesta a la revisión del control interno sino también al perfil de riesgo financiero de</w:t>
      </w:r>
      <w:r w:rsidR="00F56B3D" w:rsidRPr="00A1343C">
        <w:rPr>
          <w:rFonts w:eastAsia="Calibri"/>
          <w:sz w:val="24"/>
          <w:szCs w:val="22"/>
          <w:lang w:val="es-ES_tradnl" w:eastAsia="en-US"/>
        </w:rPr>
        <w:t xml:space="preserve"> </w:t>
      </w:r>
      <w:r w:rsidRPr="00A1343C">
        <w:rPr>
          <w:rFonts w:eastAsia="Calibri"/>
          <w:sz w:val="24"/>
          <w:szCs w:val="22"/>
          <w:lang w:val="es-ES_tradnl" w:eastAsia="en-US"/>
        </w:rPr>
        <w:t xml:space="preserve">la subvención (Receptor Principal y </w:t>
      </w:r>
      <w:r w:rsidR="006A0A92" w:rsidRPr="00A1343C">
        <w:rPr>
          <w:rFonts w:eastAsia="Calibri"/>
          <w:sz w:val="24"/>
          <w:szCs w:val="22"/>
          <w:lang w:val="es-ES_tradnl" w:eastAsia="en-US"/>
        </w:rPr>
        <w:t>su</w:t>
      </w:r>
      <w:r w:rsidR="00A1343C">
        <w:rPr>
          <w:rFonts w:eastAsia="Calibri"/>
          <w:sz w:val="24"/>
          <w:szCs w:val="22"/>
          <w:lang w:val="es-ES_tradnl" w:eastAsia="en-US"/>
        </w:rPr>
        <w:t>b</w:t>
      </w:r>
      <w:r w:rsidR="006A0A92" w:rsidRPr="00A1343C">
        <w:rPr>
          <w:rFonts w:eastAsia="Calibri"/>
          <w:sz w:val="24"/>
          <w:szCs w:val="22"/>
          <w:lang w:val="es-ES_tradnl" w:eastAsia="en-US"/>
        </w:rPr>
        <w:t>receptores</w:t>
      </w:r>
      <w:r w:rsidRPr="00A1343C">
        <w:rPr>
          <w:rFonts w:eastAsia="Calibri"/>
          <w:sz w:val="24"/>
          <w:szCs w:val="22"/>
          <w:lang w:val="es-ES_tradnl" w:eastAsia="en-US"/>
        </w:rPr>
        <w:t xml:space="preserve"> seleccionados clave).</w:t>
      </w:r>
    </w:p>
    <w:p w14:paraId="04F1DDC8" w14:textId="77777777" w:rsidR="009D6BA0" w:rsidRDefault="009D6BA0" w:rsidP="00F56B3D">
      <w:pPr>
        <w:spacing w:after="120"/>
        <w:jc w:val="both"/>
        <w:rPr>
          <w:rFonts w:eastAsia="Calibri"/>
          <w:sz w:val="24"/>
          <w:szCs w:val="22"/>
          <w:lang w:val="es-ES_tradnl" w:eastAsia="en-US"/>
        </w:rPr>
      </w:pPr>
    </w:p>
    <w:p w14:paraId="4DD5F0A3" w14:textId="77777777" w:rsidR="00FF77AB" w:rsidRPr="00FF77AB" w:rsidRDefault="00666282" w:rsidP="00915460">
      <w:pPr>
        <w:pStyle w:val="Heading2"/>
        <w:numPr>
          <w:ilvl w:val="1"/>
          <w:numId w:val="39"/>
        </w:numPr>
        <w:rPr>
          <w:b/>
          <w:snapToGrid w:val="0"/>
          <w:color w:val="auto"/>
          <w:lang w:val="es-ES_tradnl" w:eastAsia="es-ES"/>
        </w:rPr>
      </w:pPr>
      <w:bookmarkStart w:id="174" w:name="_Toc109287581"/>
      <w:bookmarkStart w:id="175" w:name="_Toc5026434"/>
      <w:bookmarkStart w:id="176" w:name="_Toc19971633"/>
      <w:bookmarkStart w:id="177" w:name="_Toc19971799"/>
      <w:bookmarkStart w:id="178" w:name="_Toc19971965"/>
      <w:bookmarkStart w:id="179" w:name="_Toc19972131"/>
      <w:bookmarkStart w:id="180" w:name="_Toc19972297"/>
      <w:bookmarkStart w:id="181" w:name="_Toc19972463"/>
      <w:bookmarkStart w:id="182" w:name="_Toc20466657"/>
      <w:bookmarkStart w:id="183" w:name="_Toc49506756"/>
      <w:r w:rsidRPr="00915460">
        <w:rPr>
          <w:b/>
          <w:snapToGrid w:val="0"/>
          <w:color w:val="auto"/>
          <w:lang w:val="es-ES_tradnl" w:eastAsia="es-ES"/>
        </w:rPr>
        <w:t>Marco de control interno</w:t>
      </w:r>
      <w:r w:rsidR="00FF77AB">
        <w:rPr>
          <w:rStyle w:val="FootnoteReference"/>
          <w:b/>
          <w:snapToGrid w:val="0"/>
          <w:color w:val="auto"/>
          <w:lang w:val="es-ES_tradnl" w:eastAsia="es-ES"/>
        </w:rPr>
        <w:footnoteReference w:id="13"/>
      </w:r>
      <w:bookmarkEnd w:id="174"/>
    </w:p>
    <w:bookmarkEnd w:id="175"/>
    <w:bookmarkEnd w:id="176"/>
    <w:bookmarkEnd w:id="177"/>
    <w:bookmarkEnd w:id="178"/>
    <w:bookmarkEnd w:id="179"/>
    <w:bookmarkEnd w:id="180"/>
    <w:bookmarkEnd w:id="181"/>
    <w:bookmarkEnd w:id="182"/>
    <w:bookmarkEnd w:id="183"/>
    <w:p w14:paraId="237D72C9" w14:textId="77777777" w:rsidR="00666282" w:rsidRPr="00F56B3D" w:rsidRDefault="00666282" w:rsidP="00F56B3D">
      <w:pPr>
        <w:spacing w:after="120"/>
        <w:ind w:left="360"/>
        <w:jc w:val="both"/>
        <w:rPr>
          <w:rFonts w:eastAsia="Calibri"/>
          <w:sz w:val="24"/>
          <w:szCs w:val="22"/>
          <w:lang w:val="es-ES_tradnl" w:eastAsia="en-US"/>
        </w:rPr>
      </w:pPr>
      <w:r w:rsidRPr="00F56B3D">
        <w:rPr>
          <w:rFonts w:eastAsia="Calibri"/>
          <w:sz w:val="24"/>
          <w:szCs w:val="22"/>
          <w:lang w:val="es-ES_tradnl" w:eastAsia="en-US"/>
        </w:rPr>
        <w:t xml:space="preserve">La carta de gestión debe poner de relieve las </w:t>
      </w:r>
      <w:r w:rsidR="00F56B3D" w:rsidRPr="00F56B3D">
        <w:rPr>
          <w:rFonts w:eastAsia="Calibri"/>
          <w:sz w:val="24"/>
          <w:szCs w:val="22"/>
          <w:lang w:val="es-ES_tradnl" w:eastAsia="en-US"/>
        </w:rPr>
        <w:t>deficiencias en</w:t>
      </w:r>
      <w:r w:rsidRPr="00F56B3D">
        <w:rPr>
          <w:rFonts w:eastAsia="Calibri"/>
          <w:sz w:val="24"/>
          <w:szCs w:val="22"/>
          <w:lang w:val="es-ES_tradnl" w:eastAsia="en-US"/>
        </w:rPr>
        <w:t xml:space="preserve"> el marco de control interno de la subvención señaladas con respecto a los procesos mencionados en el párrafo 7.11 de estos términos de referencia. Se solicita al auditor que proporcione una recomendación para cada deficiencia. Para los países centrales y de alto impacto que sean objeto de una auditoría provisional se emitirá una carta de gestión relativa al marco de control interno. El auditor también debe incluir en la carta de gestión un resumen de los procedimientos de control del Receptor Principal.</w:t>
      </w:r>
    </w:p>
    <w:p w14:paraId="1EA94D22" w14:textId="77777777" w:rsidR="00666282" w:rsidRPr="00F56B3D" w:rsidRDefault="00666282" w:rsidP="00F56B3D">
      <w:pPr>
        <w:spacing w:after="120"/>
        <w:ind w:left="360"/>
        <w:jc w:val="both"/>
        <w:rPr>
          <w:rFonts w:eastAsia="Calibri"/>
          <w:sz w:val="24"/>
          <w:szCs w:val="22"/>
          <w:lang w:val="es-ES_tradnl" w:eastAsia="en-US"/>
        </w:rPr>
      </w:pPr>
      <w:r w:rsidRPr="00F56B3D">
        <w:rPr>
          <w:rFonts w:eastAsia="Calibri"/>
          <w:sz w:val="24"/>
          <w:szCs w:val="22"/>
          <w:lang w:val="es-ES_tradnl" w:eastAsia="en-US"/>
        </w:rPr>
        <w:t xml:space="preserve">El auditor debe realizar comentarios sobre los casos de incumplimiento en los registros, procedimientos, sistemas y controles en material de contabilidad que </w:t>
      </w:r>
      <w:r w:rsidR="00F56B3D" w:rsidRPr="00F56B3D">
        <w:rPr>
          <w:rFonts w:eastAsia="Calibri"/>
          <w:sz w:val="24"/>
          <w:szCs w:val="22"/>
          <w:lang w:val="es-ES_tradnl" w:eastAsia="en-US"/>
        </w:rPr>
        <w:t>fueron detectados</w:t>
      </w:r>
      <w:r w:rsidRPr="00F56B3D">
        <w:rPr>
          <w:rFonts w:eastAsia="Calibri"/>
          <w:sz w:val="24"/>
          <w:szCs w:val="22"/>
          <w:lang w:val="es-ES_tradnl" w:eastAsia="en-US"/>
        </w:rPr>
        <w:t xml:space="preserve"> en el curso de la auditoria, con especial mención a los gastos no elegibles y a las deficiencias sistemáticas. </w:t>
      </w:r>
    </w:p>
    <w:p w14:paraId="6000C919" w14:textId="77777777" w:rsidR="00666282" w:rsidRPr="00F56B3D" w:rsidRDefault="00666282" w:rsidP="00F56B3D">
      <w:pPr>
        <w:spacing w:after="120"/>
        <w:ind w:left="360"/>
        <w:jc w:val="both"/>
        <w:rPr>
          <w:rFonts w:eastAsia="Calibri"/>
          <w:sz w:val="24"/>
          <w:szCs w:val="22"/>
          <w:lang w:val="es-ES_tradnl" w:eastAsia="en-US"/>
        </w:rPr>
      </w:pPr>
      <w:r w:rsidRPr="00F56B3D">
        <w:rPr>
          <w:rFonts w:eastAsia="Calibri"/>
          <w:sz w:val="24"/>
          <w:szCs w:val="22"/>
          <w:lang w:val="es-ES_tradnl" w:eastAsia="en-US"/>
        </w:rPr>
        <w:t>El auditor debe comunicar los problemas que hayan llamado su atención durante la auditoria y que pudieran tener una repercusión significativa en la ejecución y la sostenibilidad del programa de subvención en la carta de gestión que incluirá, como mínimo, las cinco secciones siguientes:</w:t>
      </w:r>
    </w:p>
    <w:p w14:paraId="192FA352" w14:textId="77777777" w:rsidR="00666282" w:rsidRPr="00F56B3D" w:rsidRDefault="00666282" w:rsidP="00F56B3D">
      <w:pPr>
        <w:numPr>
          <w:ilvl w:val="2"/>
          <w:numId w:val="33"/>
        </w:numPr>
        <w:spacing w:after="120"/>
        <w:ind w:left="633" w:hanging="261"/>
        <w:jc w:val="both"/>
        <w:rPr>
          <w:rFonts w:eastAsia="Calibri"/>
          <w:sz w:val="24"/>
          <w:szCs w:val="22"/>
          <w:lang w:val="es-ES_tradnl" w:eastAsia="en-US"/>
        </w:rPr>
      </w:pPr>
      <w:r w:rsidRPr="00F56B3D">
        <w:rPr>
          <w:rFonts w:eastAsia="Calibri"/>
          <w:b/>
          <w:sz w:val="24"/>
          <w:szCs w:val="22"/>
          <w:lang w:val="es-ES_tradnl" w:eastAsia="en-US"/>
        </w:rPr>
        <w:t>Control interno:</w:t>
      </w:r>
      <w:r w:rsidRPr="00F56B3D">
        <w:rPr>
          <w:rFonts w:eastAsia="Calibri"/>
          <w:sz w:val="24"/>
          <w:szCs w:val="22"/>
          <w:lang w:val="es-ES_tradnl" w:eastAsia="en-US"/>
        </w:rPr>
        <w:t xml:space="preserve"> esta sección debe recoger todas las otras cuestiones clave de control interno señaladas por el auditor al realizar la revisión descrita en el alcance del trabajo, en particular en las subcategorías siguientes (a) Gestión financiera, (b) Gestión del subreceptor (c) Gestión de programas (d) Gestión de existencias;</w:t>
      </w:r>
    </w:p>
    <w:p w14:paraId="53992F18" w14:textId="77777777" w:rsidR="00666282" w:rsidRPr="00F56B3D" w:rsidRDefault="00666282" w:rsidP="00F56B3D">
      <w:pPr>
        <w:numPr>
          <w:ilvl w:val="2"/>
          <w:numId w:val="33"/>
        </w:numPr>
        <w:spacing w:after="120"/>
        <w:ind w:left="633" w:hanging="261"/>
        <w:jc w:val="both"/>
        <w:rPr>
          <w:rFonts w:eastAsia="Calibri"/>
          <w:sz w:val="24"/>
          <w:szCs w:val="22"/>
          <w:lang w:val="es-ES_tradnl" w:eastAsia="en-US"/>
        </w:rPr>
      </w:pPr>
      <w:r w:rsidRPr="00F56B3D">
        <w:rPr>
          <w:rFonts w:eastAsia="Calibri"/>
          <w:b/>
          <w:sz w:val="24"/>
          <w:szCs w:val="22"/>
          <w:lang w:val="es-ES_tradnl" w:eastAsia="en-US"/>
        </w:rPr>
        <w:t>Cumplimiento del acuerdo de subvención y de la legislación aplicable</w:t>
      </w:r>
      <w:r w:rsidRPr="00F56B3D">
        <w:rPr>
          <w:rFonts w:eastAsia="Calibri"/>
          <w:sz w:val="24"/>
          <w:szCs w:val="22"/>
          <w:lang w:val="es-ES_tradnl" w:eastAsia="en-US"/>
        </w:rPr>
        <w:t xml:space="preserve">: esta sección debe destacar cualesquiera casos de incumplimiento con el acuerdo de subvención pertinente </w:t>
      </w:r>
      <w:r w:rsidRPr="00F56B3D">
        <w:rPr>
          <w:rFonts w:eastAsia="Calibri"/>
          <w:noProof/>
          <w:sz w:val="24"/>
          <w:szCs w:val="22"/>
          <w:lang w:val="es-ES_tradnl" w:eastAsia="en-US"/>
        </w:rPr>
        <w:t>señalados por el auditor en</w:t>
      </w:r>
      <w:r w:rsidRPr="00F56B3D">
        <w:rPr>
          <w:rFonts w:eastAsia="Calibri"/>
          <w:sz w:val="24"/>
          <w:szCs w:val="22"/>
          <w:lang w:val="es-ES_tradnl" w:eastAsia="en-US"/>
        </w:rPr>
        <w:t xml:space="preserve"> el curso de su trabajo </w:t>
      </w:r>
      <w:r w:rsidRPr="00F56B3D">
        <w:rPr>
          <w:rFonts w:eastAsia="Calibri"/>
          <w:noProof/>
          <w:sz w:val="24"/>
          <w:szCs w:val="22"/>
          <w:lang w:val="es-ES_tradnl" w:eastAsia="en-US"/>
        </w:rPr>
        <w:t>para formarse una opinión sobre los estados financieros de propósito especial de la subvención   (SPGFS)</w:t>
      </w:r>
      <w:r w:rsidRPr="00F56B3D">
        <w:rPr>
          <w:rFonts w:eastAsia="Calibri"/>
          <w:sz w:val="24"/>
          <w:szCs w:val="22"/>
          <w:lang w:val="es-ES_tradnl" w:eastAsia="en-US"/>
        </w:rPr>
        <w:t xml:space="preserve"> o confirmar que no se ha detectado ninguno en la muestra analizada. Esto implica que el auditor debe asegurar que el gasto incurrido corresponde a la actividad aprobada en el presupuesto detallado para el período pertinente bajo </w:t>
      </w:r>
      <w:r w:rsidR="00F56B3D" w:rsidRPr="00F56B3D">
        <w:rPr>
          <w:rFonts w:eastAsia="Calibri"/>
          <w:sz w:val="24"/>
          <w:szCs w:val="22"/>
          <w:lang w:val="es-ES_tradnl" w:eastAsia="en-US"/>
        </w:rPr>
        <w:t>revisión,</w:t>
      </w:r>
      <w:r w:rsidRPr="00F56B3D">
        <w:rPr>
          <w:rFonts w:eastAsia="Calibri"/>
          <w:sz w:val="24"/>
          <w:szCs w:val="22"/>
          <w:lang w:val="es-ES_tradnl" w:eastAsia="en-US"/>
        </w:rPr>
        <w:t xml:space="preserve"> así como cualesquiera ajustes presupuestarios posteriores, incluidas las </w:t>
      </w:r>
      <w:r w:rsidR="00F56B3D" w:rsidRPr="00F56B3D">
        <w:rPr>
          <w:rFonts w:eastAsia="Calibri"/>
          <w:sz w:val="24"/>
          <w:szCs w:val="22"/>
          <w:lang w:val="es-ES_tradnl" w:eastAsia="en-US"/>
        </w:rPr>
        <w:t>aprobaciones necesarias</w:t>
      </w:r>
      <w:r w:rsidRPr="00F56B3D">
        <w:rPr>
          <w:rFonts w:eastAsia="Calibri"/>
          <w:sz w:val="24"/>
          <w:szCs w:val="22"/>
          <w:lang w:val="es-ES_tradnl" w:eastAsia="en-US"/>
        </w:rPr>
        <w:t xml:space="preserve"> requeridas para dichas reasignaciones presupuestarias;</w:t>
      </w:r>
    </w:p>
    <w:p w14:paraId="36B08F4D" w14:textId="77777777" w:rsidR="00666282" w:rsidRPr="00F56B3D" w:rsidRDefault="00666282" w:rsidP="00F56B3D">
      <w:pPr>
        <w:numPr>
          <w:ilvl w:val="2"/>
          <w:numId w:val="33"/>
        </w:numPr>
        <w:spacing w:after="120"/>
        <w:ind w:left="633" w:hanging="261"/>
        <w:jc w:val="both"/>
        <w:rPr>
          <w:rFonts w:eastAsia="Calibri"/>
          <w:sz w:val="24"/>
          <w:szCs w:val="22"/>
          <w:lang w:val="es-ES_tradnl" w:eastAsia="en-US"/>
        </w:rPr>
      </w:pPr>
      <w:r w:rsidRPr="00F56B3D">
        <w:rPr>
          <w:rFonts w:eastAsia="Calibri"/>
          <w:b/>
          <w:sz w:val="24"/>
          <w:szCs w:val="22"/>
          <w:lang w:val="es-ES_tradnl" w:eastAsia="en-US"/>
        </w:rPr>
        <w:t xml:space="preserve">Optimización de los recursos: </w:t>
      </w:r>
      <w:r w:rsidRPr="00F56B3D">
        <w:rPr>
          <w:rFonts w:eastAsia="Calibri"/>
          <w:sz w:val="24"/>
          <w:szCs w:val="22"/>
          <w:lang w:val="es-ES_tradnl" w:eastAsia="en-US"/>
        </w:rPr>
        <w:t xml:space="preserve">esta sección debe recoger la opinión del auditor sobre las consideraciones del Receptor Principal y el subreceptor con respecto a la economía y la eficiencia como parte de la revisión de los gastos de subvención realizada por el auditor. El Equipo de País del Fondo Mundial puede presentar una solicitud para que el auditor preste este servicio adicional. Todas las cuestiones señaladas en torno a la optimización de los recursos (deficiencia en el control, </w:t>
      </w:r>
      <w:r w:rsidRPr="00F56B3D">
        <w:rPr>
          <w:rFonts w:eastAsia="Calibri"/>
          <w:noProof/>
          <w:sz w:val="24"/>
          <w:szCs w:val="22"/>
          <w:lang w:val="es-ES_tradnl" w:eastAsia="en-US"/>
        </w:rPr>
        <w:t>perdida estimada incurrida como consecuencia de un proceso ineficaz y otros</w:t>
      </w:r>
      <w:r w:rsidRPr="00F56B3D">
        <w:rPr>
          <w:rFonts w:eastAsia="Calibri"/>
          <w:sz w:val="24"/>
          <w:szCs w:val="22"/>
          <w:lang w:val="es-ES_tradnl" w:eastAsia="en-US"/>
        </w:rPr>
        <w:t xml:space="preserve">) deben </w:t>
      </w:r>
      <w:r w:rsidRPr="00F56B3D">
        <w:rPr>
          <w:rFonts w:eastAsia="Calibri"/>
          <w:noProof/>
          <w:sz w:val="24"/>
          <w:szCs w:val="22"/>
          <w:lang w:val="es-ES_tradnl" w:eastAsia="en-US"/>
        </w:rPr>
        <w:t>indicarse en esta sección de la carta de gestión</w:t>
      </w:r>
      <w:r w:rsidR="009D6BA0">
        <w:rPr>
          <w:rFonts w:eastAsia="Calibri"/>
          <w:sz w:val="24"/>
          <w:szCs w:val="22"/>
          <w:lang w:val="es-ES_tradnl" w:eastAsia="en-US"/>
        </w:rPr>
        <w:t>.</w:t>
      </w:r>
    </w:p>
    <w:p w14:paraId="2E763FCF" w14:textId="77777777" w:rsidR="00666282" w:rsidRPr="00F56B3D" w:rsidRDefault="00666282" w:rsidP="00F56B3D">
      <w:pPr>
        <w:numPr>
          <w:ilvl w:val="2"/>
          <w:numId w:val="33"/>
        </w:numPr>
        <w:spacing w:after="120"/>
        <w:ind w:left="633" w:hanging="261"/>
        <w:jc w:val="both"/>
        <w:rPr>
          <w:rFonts w:eastAsia="Calibri"/>
          <w:sz w:val="24"/>
          <w:szCs w:val="22"/>
          <w:lang w:val="es-ES_tradnl" w:eastAsia="en-US"/>
        </w:rPr>
      </w:pPr>
      <w:r w:rsidRPr="00F56B3D">
        <w:rPr>
          <w:rFonts w:eastAsia="Calibri"/>
          <w:b/>
          <w:sz w:val="24"/>
          <w:szCs w:val="22"/>
          <w:lang w:val="es-ES_tradnl" w:eastAsia="en-US"/>
        </w:rPr>
        <w:t>Gastos no elegibles e injustificados</w:t>
      </w:r>
      <w:r w:rsidRPr="00F56B3D">
        <w:rPr>
          <w:rFonts w:eastAsia="Calibri"/>
          <w:sz w:val="24"/>
          <w:szCs w:val="22"/>
          <w:lang w:val="es-ES_tradnl" w:eastAsia="en-US"/>
        </w:rPr>
        <w:t>: esta sección debe proporcionar una lista de gastos no justificados detectados por los audito</w:t>
      </w:r>
      <w:r w:rsidR="009D6BA0">
        <w:rPr>
          <w:rFonts w:eastAsia="Calibri"/>
          <w:sz w:val="24"/>
          <w:szCs w:val="22"/>
          <w:lang w:val="es-ES_tradnl" w:eastAsia="en-US"/>
        </w:rPr>
        <w:t>res durante su trabajo.</w:t>
      </w:r>
    </w:p>
    <w:p w14:paraId="097AC2F1" w14:textId="77777777" w:rsidR="00666282" w:rsidRPr="00F56B3D" w:rsidRDefault="00666282" w:rsidP="00F56B3D">
      <w:pPr>
        <w:numPr>
          <w:ilvl w:val="2"/>
          <w:numId w:val="33"/>
        </w:numPr>
        <w:spacing w:after="120"/>
        <w:ind w:left="633" w:hanging="261"/>
        <w:jc w:val="both"/>
        <w:rPr>
          <w:rFonts w:eastAsia="Calibri"/>
          <w:sz w:val="24"/>
          <w:szCs w:val="22"/>
          <w:lang w:val="es-ES_tradnl" w:eastAsia="en-US"/>
        </w:rPr>
      </w:pPr>
      <w:r w:rsidRPr="00F56B3D">
        <w:rPr>
          <w:rFonts w:eastAsia="Calibri"/>
          <w:b/>
          <w:sz w:val="24"/>
          <w:szCs w:val="22"/>
          <w:lang w:val="es-ES_tradnl" w:eastAsia="en-US"/>
        </w:rPr>
        <w:t>Seguimiento del informe de auditoría anterior</w:t>
      </w:r>
      <w:r w:rsidRPr="00F56B3D">
        <w:rPr>
          <w:rFonts w:eastAsia="Calibri"/>
          <w:sz w:val="24"/>
          <w:szCs w:val="22"/>
          <w:lang w:val="es-ES_tradnl" w:eastAsia="en-US"/>
        </w:rPr>
        <w:t xml:space="preserve">: en esta sección, el auditor informará sobre el estado de ejecución de las recomendaciones incluidas en los informes de auditoría previos. </w:t>
      </w:r>
    </w:p>
    <w:p w14:paraId="459549C1" w14:textId="77777777" w:rsidR="00666282" w:rsidRPr="00915460" w:rsidRDefault="00666282" w:rsidP="00915460">
      <w:pPr>
        <w:pStyle w:val="Heading2"/>
        <w:numPr>
          <w:ilvl w:val="1"/>
          <w:numId w:val="39"/>
        </w:numPr>
        <w:rPr>
          <w:b/>
          <w:snapToGrid w:val="0"/>
          <w:color w:val="auto"/>
          <w:lang w:val="es-ES_tradnl" w:eastAsia="es-ES"/>
        </w:rPr>
      </w:pPr>
      <w:bookmarkStart w:id="184" w:name="_Toc49506757"/>
      <w:bookmarkStart w:id="185" w:name="_Toc109287582"/>
      <w:bookmarkStart w:id="186" w:name="_Toc5026435"/>
      <w:bookmarkStart w:id="187" w:name="_Toc19971634"/>
      <w:bookmarkStart w:id="188" w:name="_Toc19971800"/>
      <w:bookmarkStart w:id="189" w:name="_Toc19971966"/>
      <w:bookmarkStart w:id="190" w:name="_Toc19972132"/>
      <w:bookmarkStart w:id="191" w:name="_Toc19972298"/>
      <w:bookmarkStart w:id="192" w:name="_Toc19972464"/>
      <w:bookmarkStart w:id="193" w:name="_Toc20466658"/>
      <w:r w:rsidRPr="00915460">
        <w:rPr>
          <w:b/>
          <w:snapToGrid w:val="0"/>
          <w:color w:val="auto"/>
          <w:lang w:val="es-ES_tradnl" w:eastAsia="es-ES"/>
        </w:rPr>
        <w:t>Gestión de riesgos</w:t>
      </w:r>
      <w:bookmarkEnd w:id="184"/>
      <w:bookmarkEnd w:id="185"/>
      <w:r w:rsidRPr="00915460">
        <w:rPr>
          <w:b/>
          <w:snapToGrid w:val="0"/>
          <w:color w:val="auto"/>
          <w:lang w:val="es-ES_tradnl" w:eastAsia="es-ES"/>
        </w:rPr>
        <w:t xml:space="preserve"> </w:t>
      </w:r>
      <w:bookmarkEnd w:id="186"/>
      <w:bookmarkEnd w:id="187"/>
      <w:bookmarkEnd w:id="188"/>
      <w:bookmarkEnd w:id="189"/>
      <w:bookmarkEnd w:id="190"/>
      <w:bookmarkEnd w:id="191"/>
      <w:bookmarkEnd w:id="192"/>
      <w:bookmarkEnd w:id="193"/>
    </w:p>
    <w:p w14:paraId="0B3B3F6B" w14:textId="77777777" w:rsidR="00666282" w:rsidRPr="00F56B3D" w:rsidRDefault="00666282" w:rsidP="00F56B3D">
      <w:pPr>
        <w:spacing w:after="120"/>
        <w:ind w:left="360"/>
        <w:jc w:val="both"/>
        <w:rPr>
          <w:rFonts w:eastAsia="Calibri"/>
          <w:sz w:val="24"/>
          <w:lang w:val="es-ES_tradnl" w:eastAsia="en-US"/>
        </w:rPr>
      </w:pPr>
      <w:r w:rsidRPr="00F56B3D">
        <w:rPr>
          <w:rFonts w:eastAsia="Calibri"/>
          <w:sz w:val="24"/>
          <w:lang w:val="es-ES_tradnl" w:eastAsia="en-US"/>
        </w:rPr>
        <w:t>De manera específica a la sección de gestión financiera en la carta de gestión, se espera que el auditor categorice cada conclusión, si corresponde, en una de las seis subcategorías de riesgos financieros definidas por el Fondo Mundial y facilite una tabla resumida que muestre las conclusiones por subcategoría de riesgo y calificación. Las seis categorías son:</w:t>
      </w:r>
    </w:p>
    <w:p w14:paraId="7AFC983A"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Flujo inadecuado de las disposiciones de fondos; </w:t>
      </w:r>
    </w:p>
    <w:p w14:paraId="4768D74A"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Controles internos inadecuados; </w:t>
      </w:r>
    </w:p>
    <w:p w14:paraId="1C181338"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Fraude financiero, corrupción y robo; </w:t>
      </w:r>
    </w:p>
    <w:p w14:paraId="62A5FCF2"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Comunicación inadecuada de la información financiera y contable; </w:t>
      </w:r>
    </w:p>
    <w:p w14:paraId="14E5B332"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Optimización limitada de los recursos; y</w:t>
      </w:r>
    </w:p>
    <w:p w14:paraId="4B18527D"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Disposiciones de auditoría inadecuadas.</w:t>
      </w:r>
    </w:p>
    <w:p w14:paraId="7F2170A1" w14:textId="77777777" w:rsidR="00666282" w:rsidRPr="00F56B3D" w:rsidRDefault="00666282" w:rsidP="00F56B3D">
      <w:pPr>
        <w:spacing w:after="120"/>
        <w:rPr>
          <w:rFonts w:eastAsia="MS Mincho"/>
          <w:sz w:val="24"/>
          <w:szCs w:val="22"/>
          <w:lang w:val="en-US" w:eastAsia="en-US"/>
        </w:rPr>
      </w:pPr>
    </w:p>
    <w:p w14:paraId="40EACDEB" w14:textId="77777777" w:rsidR="00666282" w:rsidRPr="00F56B3D" w:rsidRDefault="00666282" w:rsidP="00F56B3D">
      <w:pPr>
        <w:spacing w:after="120"/>
        <w:ind w:left="360"/>
        <w:jc w:val="both"/>
        <w:rPr>
          <w:rFonts w:eastAsia="MS Gothic"/>
          <w:b/>
          <w:bCs/>
          <w:sz w:val="24"/>
          <w:lang w:val="es-ES_tradnl" w:eastAsia="en-US"/>
        </w:rPr>
      </w:pPr>
      <w:r w:rsidRPr="00F56B3D">
        <w:rPr>
          <w:rFonts w:eastAsia="Calibri"/>
          <w:sz w:val="24"/>
          <w:lang w:val="es-ES_tradnl" w:eastAsia="en-US"/>
        </w:rPr>
        <w:t>Las definiciones de cada una de estas categorías figuran en</w:t>
      </w:r>
      <w:r w:rsidRPr="00F56B3D">
        <w:rPr>
          <w:rFonts w:cs="Georgia"/>
          <w:i/>
          <w:color w:val="000000"/>
          <w:sz w:val="24"/>
          <w:lang w:val="es-ES_tradnl" w:eastAsia="en-IE"/>
        </w:rPr>
        <w:t xml:space="preserve"> </w:t>
      </w:r>
      <w:hyperlink r:id="rId28" w:history="1">
        <w:r w:rsidRPr="00F56B3D">
          <w:rPr>
            <w:rFonts w:eastAsia="MS Gothic" w:cs="Georgia"/>
            <w:color w:val="0070C0"/>
            <w:sz w:val="24"/>
            <w:u w:val="single"/>
            <w:lang w:val="es-ES_tradnl" w:eastAsia="en-IE"/>
          </w:rPr>
          <w:t>the Global Fund Financial Risk Management guidelines</w:t>
        </w:r>
      </w:hyperlink>
      <w:r w:rsidRPr="00F56B3D">
        <w:rPr>
          <w:rFonts w:cs="Georgia"/>
          <w:color w:val="0070C0"/>
          <w:sz w:val="24"/>
          <w:u w:val="single"/>
          <w:vertAlign w:val="superscript"/>
          <w:lang w:val="es-ES_tradnl" w:eastAsia="en-IE"/>
        </w:rPr>
        <w:footnoteReference w:id="14"/>
      </w:r>
      <w:r w:rsidRPr="00F56B3D">
        <w:rPr>
          <w:rFonts w:cs="Georgia"/>
          <w:color w:val="0070C0"/>
          <w:sz w:val="24"/>
          <w:lang w:val="es-ES_tradnl" w:eastAsia="en-IE"/>
        </w:rPr>
        <w:t xml:space="preserve"> (</w:t>
      </w:r>
      <w:r w:rsidRPr="00F56B3D">
        <w:rPr>
          <w:rFonts w:cs="Georgia"/>
          <w:color w:val="000000"/>
          <w:sz w:val="24"/>
          <w:lang w:val="es-ES_tradnl" w:eastAsia="en-IE"/>
        </w:rPr>
        <w:t xml:space="preserve">Directrices de la gestión de riesgos financieros del Fondo Mundial). Se espera que el auditor </w:t>
      </w:r>
      <w:r w:rsidRPr="00F56B3D">
        <w:rPr>
          <w:rFonts w:cs="Georgia"/>
          <w:noProof/>
          <w:color w:val="000000"/>
          <w:sz w:val="24"/>
          <w:lang w:val="es-ES_tradnl" w:eastAsia="en-IE"/>
        </w:rPr>
        <w:t>categorice</w:t>
      </w:r>
      <w:r w:rsidRPr="00F56B3D">
        <w:rPr>
          <w:rFonts w:cs="Georgia"/>
          <w:color w:val="000000"/>
          <w:sz w:val="24"/>
          <w:lang w:val="es-ES_tradnl" w:eastAsia="en-IE"/>
        </w:rPr>
        <w:t xml:space="preserve"> cada conclusión, si corresponde, </w:t>
      </w:r>
      <w:bookmarkStart w:id="194" w:name="_Toc5026436"/>
      <w:bookmarkStart w:id="195" w:name="_Toc19971635"/>
      <w:bookmarkStart w:id="196" w:name="_Toc19971801"/>
      <w:bookmarkStart w:id="197" w:name="_Toc19971967"/>
      <w:bookmarkStart w:id="198" w:name="_Toc19972133"/>
      <w:bookmarkStart w:id="199" w:name="_Toc19972299"/>
      <w:bookmarkStart w:id="200" w:name="_Toc19972465"/>
      <w:bookmarkStart w:id="201" w:name="_Toc20466659"/>
      <w:r w:rsidRPr="00F56B3D">
        <w:rPr>
          <w:rFonts w:eastAsia="Calibri"/>
          <w:sz w:val="24"/>
          <w:lang w:val="es-ES_tradnl" w:eastAsia="en-US"/>
        </w:rPr>
        <w:t>en una de las seis subcategorías de riesgos financieros y facilite una tabla resumida que muestre las conclusiones por subcategoría de riesgo y calificación.</w:t>
      </w:r>
    </w:p>
    <w:p w14:paraId="0AEA8CE9" w14:textId="77777777" w:rsidR="00666282" w:rsidRPr="00915460" w:rsidRDefault="00666282" w:rsidP="00915460">
      <w:pPr>
        <w:pStyle w:val="Heading2"/>
        <w:numPr>
          <w:ilvl w:val="1"/>
          <w:numId w:val="39"/>
        </w:numPr>
        <w:rPr>
          <w:b/>
          <w:snapToGrid w:val="0"/>
          <w:color w:val="auto"/>
          <w:lang w:val="es-ES_tradnl" w:eastAsia="es-ES"/>
        </w:rPr>
      </w:pPr>
      <w:bookmarkStart w:id="202" w:name="_Toc109287583"/>
      <w:r w:rsidRPr="00915460">
        <w:rPr>
          <w:b/>
          <w:snapToGrid w:val="0"/>
          <w:color w:val="auto"/>
          <w:lang w:val="es-ES_tradnl" w:eastAsia="es-ES"/>
        </w:rPr>
        <w:t>Otras divulgaciones importantes</w:t>
      </w:r>
      <w:bookmarkEnd w:id="202"/>
      <w:r w:rsidRPr="00915460">
        <w:rPr>
          <w:b/>
          <w:snapToGrid w:val="0"/>
          <w:color w:val="auto"/>
          <w:lang w:val="es-ES_tradnl" w:eastAsia="es-ES"/>
        </w:rPr>
        <w:t xml:space="preserve"> </w:t>
      </w:r>
      <w:bookmarkEnd w:id="194"/>
      <w:bookmarkEnd w:id="195"/>
      <w:bookmarkEnd w:id="196"/>
      <w:bookmarkEnd w:id="197"/>
      <w:bookmarkEnd w:id="198"/>
      <w:bookmarkEnd w:id="199"/>
      <w:bookmarkEnd w:id="200"/>
      <w:bookmarkEnd w:id="201"/>
    </w:p>
    <w:p w14:paraId="632C86A2" w14:textId="77777777" w:rsidR="00666282" w:rsidRPr="00F56B3D" w:rsidRDefault="00666282" w:rsidP="00F56B3D">
      <w:pPr>
        <w:spacing w:after="120"/>
        <w:ind w:left="360"/>
        <w:jc w:val="both"/>
        <w:rPr>
          <w:rFonts w:eastAsia="Calibri"/>
          <w:sz w:val="24"/>
          <w:szCs w:val="22"/>
          <w:lang w:val="es-ES_tradnl" w:eastAsia="en-US"/>
        </w:rPr>
      </w:pPr>
      <w:r w:rsidRPr="00F56B3D">
        <w:rPr>
          <w:rFonts w:eastAsia="Calibri"/>
          <w:sz w:val="24"/>
          <w:szCs w:val="22"/>
          <w:lang w:val="es-ES_tradnl" w:eastAsia="en-US"/>
        </w:rPr>
        <w:t xml:space="preserve">Basándose en las conclusiones de la revisión del marco de control interno (con la posible inclusión de una tercera parte) y en el grado de estas deficiencias, la carta de gestión </w:t>
      </w:r>
      <w:r w:rsidRPr="00F56B3D">
        <w:rPr>
          <w:rFonts w:eastAsia="Calibri"/>
          <w:b/>
          <w:sz w:val="24"/>
          <w:szCs w:val="22"/>
          <w:lang w:val="es-ES_tradnl" w:eastAsia="en-US"/>
        </w:rPr>
        <w:t>debe</w:t>
      </w:r>
      <w:r w:rsidRPr="00F56B3D">
        <w:rPr>
          <w:rFonts w:eastAsia="Calibri"/>
          <w:sz w:val="24"/>
          <w:szCs w:val="22"/>
          <w:lang w:val="es-ES_tradnl" w:eastAsia="en-US"/>
        </w:rPr>
        <w:t xml:space="preserve"> incluir un resumen ejecutivo de alto nivel con la siguiente estadística e información:</w:t>
      </w:r>
    </w:p>
    <w:p w14:paraId="3E35D356"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El riesgo financiero calificado por categoría de riesgo </w:t>
      </w:r>
    </w:p>
    <w:p w14:paraId="31F965F5"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La calidad de los estados financieros proporcionados por el Receptor Principal antes de los ajustes propuestos por el auditor </w:t>
      </w:r>
    </w:p>
    <w:p w14:paraId="47C92811"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Datos estadísticos sobre el número de conclusiones por calificación y su evolución a lo largo del tiempo </w:t>
      </w:r>
    </w:p>
    <w:p w14:paraId="0B12F9A2"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Resumen de los procedimientos de control clave de los receptores, tales como </w:t>
      </w:r>
      <w:r w:rsidR="00485CE3" w:rsidRPr="00F56B3D">
        <w:rPr>
          <w:rFonts w:eastAsia="Calibri"/>
          <w:sz w:val="24"/>
          <w:szCs w:val="22"/>
          <w:lang w:val="es-ES_tradnl" w:eastAsia="en-US"/>
        </w:rPr>
        <w:t>las políticas</w:t>
      </w:r>
      <w:r w:rsidRPr="00F56B3D">
        <w:rPr>
          <w:rFonts w:eastAsia="Calibri"/>
          <w:sz w:val="24"/>
          <w:szCs w:val="22"/>
          <w:lang w:val="es-ES_tradnl" w:eastAsia="en-US"/>
        </w:rPr>
        <w:t xml:space="preserve"> relativas a adquisiciones, viajes, asignación de gastos, etc.</w:t>
      </w:r>
    </w:p>
    <w:p w14:paraId="71FF6D14"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El criterio del auditor respecto de cuáles son los riesgos clave de la auditoría y la metodología aplicada para abordar estos riesgos clave</w:t>
      </w:r>
    </w:p>
    <w:p w14:paraId="6F087F11"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El número de recomendaciones resueltas de auditorías previas y aquellas que no lo han sido </w:t>
      </w:r>
    </w:p>
    <w:p w14:paraId="33FF911C"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Cualquier otra información importante sobre la cual debiera centrarse la gestión. </w:t>
      </w:r>
    </w:p>
    <w:p w14:paraId="6E6EA23B" w14:textId="77777777" w:rsidR="00666282" w:rsidRPr="00F56B3D" w:rsidRDefault="00666282" w:rsidP="00F56B3D">
      <w:pPr>
        <w:spacing w:after="120"/>
        <w:jc w:val="both"/>
        <w:rPr>
          <w:rFonts w:eastAsia="MS Mincho"/>
          <w:sz w:val="24"/>
          <w:szCs w:val="22"/>
          <w:lang w:val="es-ES_tradnl" w:eastAsia="en-US"/>
        </w:rPr>
      </w:pPr>
    </w:p>
    <w:p w14:paraId="2552A114" w14:textId="77777777" w:rsidR="00666282" w:rsidRPr="00F56B3D" w:rsidRDefault="00666282" w:rsidP="00F56B3D">
      <w:pPr>
        <w:spacing w:after="120"/>
        <w:ind w:left="720"/>
        <w:jc w:val="both"/>
        <w:rPr>
          <w:rFonts w:eastAsia="Calibri"/>
          <w:sz w:val="24"/>
          <w:szCs w:val="22"/>
          <w:lang w:val="es-ES_tradnl" w:eastAsia="en-US"/>
        </w:rPr>
      </w:pPr>
      <w:r w:rsidRPr="00F56B3D">
        <w:rPr>
          <w:rFonts w:eastAsia="Calibri"/>
          <w:sz w:val="24"/>
          <w:szCs w:val="22"/>
          <w:lang w:val="es-ES_tradnl" w:eastAsia="en-US"/>
        </w:rPr>
        <w:t xml:space="preserve">La carta de gestión debe incluir las repuestas aportadas por el Receptor Principal en el análisis de las recomendaciones de auditoría, junto con un plazo para ejecutar las recomendaciones acordadas. En los casos en los que el Receptor Principal no acepte una conclusión de la auditoría o que el auditor no esté de acuerdo con idoneidad de la respuesta de gestión, la carta de gestión reconocerá ese desacuerdo. Todas las observaciones y recomendaciones se tratarán con la dirección del Receptor Principal antes </w:t>
      </w:r>
      <w:r w:rsidR="00F56B3D" w:rsidRPr="00F56B3D">
        <w:rPr>
          <w:rFonts w:eastAsia="Calibri"/>
          <w:sz w:val="24"/>
          <w:szCs w:val="22"/>
          <w:lang w:val="es-ES_tradnl" w:eastAsia="en-US"/>
        </w:rPr>
        <w:t>de finalizar</w:t>
      </w:r>
      <w:r w:rsidRPr="00F56B3D">
        <w:rPr>
          <w:rFonts w:eastAsia="Calibri"/>
          <w:sz w:val="24"/>
          <w:szCs w:val="22"/>
          <w:lang w:val="es-ES_tradnl" w:eastAsia="en-US"/>
        </w:rPr>
        <w:t xml:space="preserve"> la carta.</w:t>
      </w:r>
    </w:p>
    <w:p w14:paraId="6DFA489D"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En la portada de la carta de gestión debe señalarse claramente que se trata de un documento confidencial y debe tratarse como tal. </w:t>
      </w:r>
    </w:p>
    <w:p w14:paraId="35C0B2C3"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La carta de gestión debe especificar que el auditor reconoce y acepta que la carta de gestión se compartirá con el Fondo Mundial y el Agente Local del Fondo (de forma confidencial). </w:t>
      </w:r>
    </w:p>
    <w:p w14:paraId="3C96A2E7" w14:textId="77777777" w:rsidR="00666282" w:rsidRPr="00F56B3D" w:rsidRDefault="00666282" w:rsidP="00F56B3D">
      <w:pPr>
        <w:numPr>
          <w:ilvl w:val="0"/>
          <w:numId w:val="31"/>
        </w:numPr>
        <w:spacing w:after="120"/>
        <w:contextualSpacing/>
        <w:jc w:val="both"/>
        <w:rPr>
          <w:rFonts w:eastAsia="Calibri"/>
          <w:sz w:val="24"/>
          <w:szCs w:val="22"/>
          <w:lang w:val="es-ES_tradnl" w:eastAsia="en-US"/>
        </w:rPr>
      </w:pPr>
      <w:r w:rsidRPr="00F56B3D">
        <w:rPr>
          <w:rFonts w:eastAsia="Calibri"/>
          <w:sz w:val="24"/>
          <w:szCs w:val="22"/>
          <w:lang w:val="es-ES_tradnl" w:eastAsia="en-US"/>
        </w:rPr>
        <w:t xml:space="preserve">La carta de gestión debe utilizar un sistema de puntos de calificación en función del nivel de gravedad con arreglo a lo dispuesto en las Directrices sobre las auditorías anuales de los estados financieros del programa de subvenciones del Fondo Mundial. </w:t>
      </w:r>
    </w:p>
    <w:p w14:paraId="79F45D5E" w14:textId="77777777" w:rsidR="00666282" w:rsidRPr="00915460" w:rsidRDefault="00666282" w:rsidP="00915460">
      <w:pPr>
        <w:pStyle w:val="Heading2"/>
        <w:numPr>
          <w:ilvl w:val="1"/>
          <w:numId w:val="39"/>
        </w:numPr>
        <w:rPr>
          <w:b/>
          <w:snapToGrid w:val="0"/>
          <w:color w:val="auto"/>
          <w:lang w:val="es-ES_tradnl" w:eastAsia="es-ES"/>
        </w:rPr>
      </w:pPr>
      <w:bookmarkStart w:id="203" w:name="_Toc49506758"/>
      <w:bookmarkStart w:id="204" w:name="_Toc109287584"/>
      <w:bookmarkStart w:id="205" w:name="_Toc19971636"/>
      <w:bookmarkStart w:id="206" w:name="_Toc19971802"/>
      <w:bookmarkStart w:id="207" w:name="_Toc19971968"/>
      <w:bookmarkStart w:id="208" w:name="_Toc19972134"/>
      <w:bookmarkStart w:id="209" w:name="_Toc19972300"/>
      <w:bookmarkStart w:id="210" w:name="_Toc19972466"/>
      <w:bookmarkStart w:id="211" w:name="_Toc20466660"/>
      <w:r w:rsidRPr="00915460">
        <w:rPr>
          <w:b/>
          <w:snapToGrid w:val="0"/>
          <w:color w:val="auto"/>
          <w:lang w:val="es-ES_tradnl" w:eastAsia="es-ES"/>
        </w:rPr>
        <w:t>Proceso de revisión de informes</w:t>
      </w:r>
      <w:bookmarkEnd w:id="203"/>
      <w:bookmarkEnd w:id="204"/>
      <w:r w:rsidRPr="00915460">
        <w:rPr>
          <w:b/>
          <w:snapToGrid w:val="0"/>
          <w:color w:val="auto"/>
          <w:lang w:val="es-ES_tradnl" w:eastAsia="es-ES"/>
        </w:rPr>
        <w:t xml:space="preserve"> </w:t>
      </w:r>
      <w:bookmarkEnd w:id="205"/>
      <w:bookmarkEnd w:id="206"/>
      <w:bookmarkEnd w:id="207"/>
      <w:bookmarkEnd w:id="208"/>
      <w:bookmarkEnd w:id="209"/>
      <w:bookmarkEnd w:id="210"/>
      <w:bookmarkEnd w:id="211"/>
    </w:p>
    <w:p w14:paraId="2EAEDD1B" w14:textId="77777777" w:rsidR="00485CE3" w:rsidRPr="00F56B3D" w:rsidRDefault="00666282" w:rsidP="00F56B3D">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212" w:name="_Toc49331857"/>
      <w:bookmarkStart w:id="213" w:name="_Toc49331897"/>
      <w:bookmarkStart w:id="214" w:name="_Toc49332776"/>
      <w:bookmarkStart w:id="215" w:name="_Toc49333097"/>
      <w:bookmarkStart w:id="216" w:name="_Toc49333398"/>
      <w:bookmarkStart w:id="217" w:name="_Toc49333525"/>
      <w:bookmarkStart w:id="218" w:name="_Toc49506759"/>
      <w:bookmarkStart w:id="219" w:name="_Toc109287585"/>
      <w:bookmarkStart w:id="220" w:name="_Toc815398"/>
      <w:bookmarkStart w:id="221" w:name="_Toc19971637"/>
      <w:bookmarkStart w:id="222" w:name="_Toc19971803"/>
      <w:bookmarkStart w:id="223" w:name="_Toc19971969"/>
      <w:bookmarkStart w:id="224" w:name="_Toc19972135"/>
      <w:bookmarkStart w:id="225" w:name="_Toc19972301"/>
      <w:bookmarkStart w:id="226" w:name="_Toc19972467"/>
      <w:bookmarkStart w:id="227" w:name="_Toc20466661"/>
      <w:bookmarkEnd w:id="212"/>
      <w:bookmarkEnd w:id="213"/>
      <w:bookmarkEnd w:id="214"/>
      <w:bookmarkEnd w:id="215"/>
      <w:bookmarkEnd w:id="216"/>
      <w:bookmarkEnd w:id="217"/>
      <w:r w:rsidRPr="00F56B3D">
        <w:rPr>
          <w:rStyle w:val="SubtleEmphasis"/>
          <w:rFonts w:eastAsia="MS Gothic"/>
          <w:b/>
          <w:color w:val="auto"/>
          <w:sz w:val="24"/>
          <w:lang w:val="es-NI"/>
        </w:rPr>
        <w:t>Informe provisional</w:t>
      </w:r>
      <w:bookmarkEnd w:id="218"/>
      <w:bookmarkEnd w:id="219"/>
      <w:r w:rsidRPr="00F56B3D">
        <w:rPr>
          <w:rStyle w:val="SubtleEmphasis"/>
          <w:rFonts w:eastAsia="MS Gothic"/>
          <w:b/>
          <w:color w:val="auto"/>
          <w:sz w:val="24"/>
          <w:lang w:val="es-NI"/>
        </w:rPr>
        <w:t xml:space="preserve"> </w:t>
      </w:r>
      <w:bookmarkEnd w:id="220"/>
      <w:bookmarkEnd w:id="221"/>
      <w:bookmarkEnd w:id="222"/>
      <w:bookmarkEnd w:id="223"/>
      <w:bookmarkEnd w:id="224"/>
      <w:bookmarkEnd w:id="225"/>
      <w:bookmarkEnd w:id="226"/>
      <w:bookmarkEnd w:id="227"/>
    </w:p>
    <w:p w14:paraId="05651553" w14:textId="77777777" w:rsidR="00666282" w:rsidRPr="00F56B3D" w:rsidRDefault="00666282" w:rsidP="00F56B3D">
      <w:pPr>
        <w:spacing w:after="120"/>
        <w:ind w:left="720"/>
        <w:jc w:val="both"/>
        <w:rPr>
          <w:rFonts w:eastAsia="Calibri"/>
          <w:sz w:val="24"/>
          <w:szCs w:val="22"/>
          <w:lang w:val="es-ES_tradnl" w:eastAsia="en-US"/>
        </w:rPr>
      </w:pPr>
      <w:bookmarkStart w:id="228" w:name="_Hlk5217864"/>
      <w:r w:rsidRPr="00F56B3D">
        <w:rPr>
          <w:rFonts w:eastAsia="Calibri"/>
          <w:sz w:val="24"/>
          <w:szCs w:val="22"/>
          <w:lang w:val="es-ES_tradnl" w:eastAsia="en-US"/>
        </w:rPr>
        <w:t xml:space="preserve">El Receptor Principal incluirá comentarios en el informe provisional del auditor dentro de los 10 días naturales posteriores a la recepción del informe provisional. El Equipo de País del Fondo Mundial pertinente también puede solicitar una revisión del informe provisional. Si, con posterioridad a la revisión del informe provisional, el Fondo Mundial solicita al auditor que lleve a cabo un trabajo adicional podría acordarse un nuevo plazo para la presentación del informe. </w:t>
      </w:r>
    </w:p>
    <w:p w14:paraId="11EFD3B1" w14:textId="77777777" w:rsidR="00666282" w:rsidRPr="00F56B3D" w:rsidRDefault="00666282" w:rsidP="00F56B3D">
      <w:pPr>
        <w:spacing w:after="120"/>
        <w:ind w:left="720"/>
        <w:jc w:val="both"/>
        <w:rPr>
          <w:rFonts w:eastAsia="Calibri"/>
          <w:sz w:val="24"/>
          <w:szCs w:val="22"/>
          <w:lang w:val="es-ES_tradnl" w:eastAsia="en-US"/>
        </w:rPr>
      </w:pPr>
      <w:r w:rsidRPr="00F56B3D">
        <w:rPr>
          <w:rFonts w:eastAsia="Calibri"/>
          <w:sz w:val="24"/>
          <w:szCs w:val="22"/>
          <w:lang w:val="es-ES_tradnl" w:eastAsia="en-US"/>
        </w:rPr>
        <w:t xml:space="preserve">El auditor debe presentar un informe provisional actualizado que contemple los comentarios al Receptor Principal (y, en última instancia, al Fondo Mundial) dentro de los cinco días naturales desde la recepción de los comentarios. El Receptor Principal aportará observaciones al auditor sobre el borrador actualizado dentro de los cinco días naturales. </w:t>
      </w:r>
    </w:p>
    <w:bookmarkEnd w:id="228"/>
    <w:p w14:paraId="3898EC2B" w14:textId="77777777" w:rsidR="00666282" w:rsidRPr="00F56B3D" w:rsidRDefault="00666282" w:rsidP="00F56B3D">
      <w:pPr>
        <w:pStyle w:val="ListParagraph"/>
        <w:spacing w:after="120"/>
        <w:ind w:left="720"/>
        <w:jc w:val="both"/>
        <w:rPr>
          <w:rFonts w:eastAsia="Calibri"/>
          <w:sz w:val="24"/>
          <w:lang w:val="es-ES_tradnl" w:eastAsia="en-US"/>
        </w:rPr>
      </w:pPr>
      <w:r w:rsidRPr="00F56B3D">
        <w:rPr>
          <w:rFonts w:eastAsia="Calibri"/>
          <w:sz w:val="24"/>
          <w:lang w:val="es-ES_tradnl" w:eastAsia="en-US"/>
        </w:rPr>
        <w:t>Si los comentarios aportados por el Receptor Principal no se reciben dentro de este plazo, el auditor se lo recordará al Receptor Principal hasta recibir una respuesta escrita del Receptor Principal. En el caso de que produzcan demoras excesivas por parte del Receptor Principal (más de diez días naturales), el auditor debe ponerse en contacto con el Fondo Mundial para encontrar una solución adecuada.</w:t>
      </w:r>
    </w:p>
    <w:p w14:paraId="5DA8F04E" w14:textId="77777777" w:rsidR="00485CE3" w:rsidRPr="00F56B3D" w:rsidRDefault="00485CE3" w:rsidP="00F56B3D">
      <w:pPr>
        <w:pStyle w:val="ListParagraph"/>
        <w:keepNext/>
        <w:keepLines/>
        <w:numPr>
          <w:ilvl w:val="2"/>
          <w:numId w:val="39"/>
        </w:numPr>
        <w:spacing w:before="120" w:after="120" w:line="240" w:lineRule="atLeast"/>
        <w:outlineLvl w:val="2"/>
        <w:rPr>
          <w:rStyle w:val="SubtleEmphasis"/>
          <w:rFonts w:eastAsia="MS Gothic"/>
          <w:b/>
          <w:color w:val="auto"/>
          <w:sz w:val="24"/>
          <w:lang w:val="es-NI"/>
        </w:rPr>
      </w:pPr>
      <w:bookmarkStart w:id="229" w:name="_Toc49506760"/>
      <w:bookmarkStart w:id="230" w:name="_Toc109287586"/>
      <w:bookmarkStart w:id="231" w:name="_Toc815399"/>
      <w:bookmarkStart w:id="232" w:name="_Toc19971638"/>
      <w:bookmarkStart w:id="233" w:name="_Toc19971804"/>
      <w:bookmarkStart w:id="234" w:name="_Toc19971970"/>
      <w:bookmarkStart w:id="235" w:name="_Toc19972136"/>
      <w:bookmarkStart w:id="236" w:name="_Toc19972302"/>
      <w:bookmarkStart w:id="237" w:name="_Toc19972468"/>
      <w:bookmarkStart w:id="238" w:name="_Toc20466662"/>
      <w:r w:rsidRPr="00F56B3D">
        <w:rPr>
          <w:rStyle w:val="SubtleEmphasis"/>
          <w:rFonts w:eastAsia="MS Gothic"/>
          <w:b/>
          <w:color w:val="auto"/>
          <w:sz w:val="24"/>
          <w:lang w:val="es-NI"/>
        </w:rPr>
        <w:t>Informe final</w:t>
      </w:r>
      <w:bookmarkEnd w:id="229"/>
      <w:bookmarkEnd w:id="230"/>
      <w:r w:rsidRPr="00F56B3D">
        <w:rPr>
          <w:rStyle w:val="SubtleEmphasis"/>
          <w:rFonts w:eastAsia="MS Gothic"/>
          <w:b/>
          <w:color w:val="auto"/>
          <w:sz w:val="24"/>
          <w:lang w:val="es-NI"/>
        </w:rPr>
        <w:t xml:space="preserve"> </w:t>
      </w:r>
      <w:bookmarkEnd w:id="231"/>
      <w:bookmarkEnd w:id="232"/>
      <w:bookmarkEnd w:id="233"/>
      <w:bookmarkEnd w:id="234"/>
      <w:bookmarkEnd w:id="235"/>
      <w:bookmarkEnd w:id="236"/>
      <w:bookmarkEnd w:id="237"/>
      <w:bookmarkEnd w:id="238"/>
    </w:p>
    <w:p w14:paraId="3517D380" w14:textId="77777777" w:rsidR="00485CE3" w:rsidRPr="00F56B3D" w:rsidRDefault="00485CE3" w:rsidP="00F56B3D">
      <w:pPr>
        <w:pStyle w:val="ListParagraph"/>
        <w:spacing w:after="120"/>
        <w:ind w:left="720"/>
        <w:jc w:val="both"/>
        <w:rPr>
          <w:rFonts w:eastAsia="Calibri"/>
          <w:sz w:val="24"/>
          <w:lang w:val="es-ES_tradnl" w:eastAsia="en-US"/>
        </w:rPr>
      </w:pPr>
      <w:r w:rsidRPr="00F56B3D">
        <w:rPr>
          <w:rFonts w:eastAsia="Calibri"/>
          <w:sz w:val="24"/>
          <w:lang w:val="es-ES_tradnl" w:eastAsia="en-US"/>
        </w:rPr>
        <w:t xml:space="preserve">Una vez que el auditor recibe los comentarios finales de los receptores principales se espera que el informe final se entregue dentro de los cinco días naturales siguientes. El informe de auditoría y la carta de gestión adjunta, incluidas las respuestas del Receptor Principal, </w:t>
      </w:r>
      <w:r w:rsidRPr="00F56B3D">
        <w:rPr>
          <w:rFonts w:eastAsia="Calibri"/>
          <w:b/>
          <w:sz w:val="24"/>
          <w:lang w:val="es-ES_tradnl" w:eastAsia="en-US"/>
        </w:rPr>
        <w:t>debe</w:t>
      </w:r>
      <w:r w:rsidRPr="00F56B3D">
        <w:rPr>
          <w:rFonts w:eastAsia="Calibri"/>
          <w:sz w:val="24"/>
          <w:lang w:val="es-ES_tradnl" w:eastAsia="en-US"/>
        </w:rPr>
        <w:t xml:space="preserve"> recibirse en el Fondo Mundial dentro de los seis (6) meses posteriores al final del período de reporte bajo auditoría. La recepción satisfactoria del informe de auditoría y de la carta de gestión implica que todas las reiteraciones entre el Receptor Principal y los auditores, incluida la revisión por </w:t>
      </w:r>
      <w:r w:rsidR="009E7948" w:rsidRPr="00F56B3D">
        <w:rPr>
          <w:rFonts w:eastAsia="Calibri"/>
          <w:sz w:val="24"/>
          <w:lang w:val="es-ES_tradnl" w:eastAsia="en-US"/>
        </w:rPr>
        <w:t>parte</w:t>
      </w:r>
      <w:r w:rsidRPr="00F56B3D">
        <w:rPr>
          <w:rFonts w:eastAsia="Calibri"/>
          <w:sz w:val="24"/>
          <w:lang w:val="es-ES_tradnl" w:eastAsia="en-US"/>
        </w:rPr>
        <w:t xml:space="preserve"> del Fondo Mundial o cualesquiera de sus agentes, </w:t>
      </w:r>
      <w:r w:rsidRPr="00F56B3D">
        <w:rPr>
          <w:rFonts w:eastAsia="Calibri"/>
          <w:b/>
          <w:sz w:val="24"/>
          <w:lang w:val="es-ES_tradnl" w:eastAsia="en-US"/>
        </w:rPr>
        <w:t xml:space="preserve">deben </w:t>
      </w:r>
      <w:r w:rsidRPr="00F56B3D">
        <w:rPr>
          <w:rFonts w:eastAsia="Calibri"/>
          <w:sz w:val="24"/>
          <w:lang w:val="es-ES_tradnl" w:eastAsia="en-US"/>
        </w:rPr>
        <w:t>estar completadas y finalizadas antes del plazo semestral de entrega.</w:t>
      </w:r>
    </w:p>
    <w:p w14:paraId="6E19B64E" w14:textId="77777777" w:rsidR="00485CE3" w:rsidRPr="00F56B3D" w:rsidRDefault="00485CE3" w:rsidP="009E7948">
      <w:pPr>
        <w:spacing w:after="120"/>
        <w:ind w:left="720"/>
        <w:jc w:val="both"/>
        <w:rPr>
          <w:rFonts w:eastAsia="Calibri"/>
          <w:sz w:val="24"/>
          <w:szCs w:val="22"/>
          <w:lang w:val="es-ES_tradnl" w:eastAsia="en-US"/>
        </w:rPr>
      </w:pPr>
      <w:r w:rsidRPr="00F56B3D">
        <w:rPr>
          <w:rFonts w:eastAsia="Calibri"/>
          <w:sz w:val="24"/>
          <w:szCs w:val="22"/>
          <w:lang w:val="es-ES_tradnl" w:eastAsia="en-US"/>
        </w:rPr>
        <w:t xml:space="preserve">El auditor debe presentar al Receptor Principal tres copias impresas originales y una copia electrónica del informe final al Receptor Principal y al Fondo Mundial </w:t>
      </w:r>
      <w:r w:rsidRPr="00F56B3D">
        <w:rPr>
          <w:rFonts w:eastAsia="Calibri"/>
          <w:sz w:val="24"/>
          <w:szCs w:val="22"/>
          <w:vertAlign w:val="superscript"/>
          <w:lang w:val="es-ES_tradnl" w:eastAsia="en-US"/>
        </w:rPr>
        <w:footnoteReference w:id="15"/>
      </w:r>
      <w:r w:rsidRPr="00F56B3D">
        <w:rPr>
          <w:rFonts w:eastAsia="Calibri"/>
          <w:sz w:val="24"/>
          <w:szCs w:val="22"/>
          <w:vertAlign w:val="superscript"/>
          <w:lang w:val="es-ES_tradnl" w:eastAsia="en-US"/>
        </w:rPr>
        <w:t>.</w:t>
      </w:r>
      <w:r w:rsidRPr="00F56B3D">
        <w:rPr>
          <w:rFonts w:eastAsia="Calibri"/>
          <w:sz w:val="24"/>
          <w:szCs w:val="22"/>
          <w:lang w:val="es-ES_tradnl" w:eastAsia="en-US"/>
        </w:rPr>
        <w:t xml:space="preserve"> </w:t>
      </w:r>
    </w:p>
    <w:p w14:paraId="6B73C23F" w14:textId="77777777" w:rsidR="00485CE3" w:rsidRPr="00F56B3D" w:rsidRDefault="00485CE3" w:rsidP="009E7948">
      <w:pPr>
        <w:spacing w:after="120"/>
        <w:ind w:left="720"/>
        <w:jc w:val="both"/>
        <w:rPr>
          <w:rFonts w:eastAsia="Calibri"/>
          <w:sz w:val="24"/>
          <w:szCs w:val="22"/>
          <w:lang w:val="es-ES_tradnl" w:eastAsia="en-US"/>
        </w:rPr>
      </w:pPr>
      <w:r w:rsidRPr="00F56B3D">
        <w:rPr>
          <w:rFonts w:eastAsia="Calibri"/>
          <w:sz w:val="24"/>
          <w:szCs w:val="22"/>
          <w:lang w:val="es-ES_tradnl" w:eastAsia="en-US"/>
        </w:rPr>
        <w:t>En cualquier caso, el Receptor Principal debe asegurar que el auditor envía directamente al Fondo Mundial una copia electrónica de los informes</w:t>
      </w:r>
      <w:r w:rsidRPr="00F56B3D">
        <w:rPr>
          <w:rFonts w:eastAsia="Calibri"/>
          <w:sz w:val="24"/>
          <w:szCs w:val="22"/>
          <w:vertAlign w:val="superscript"/>
          <w:lang w:val="es-ES_tradnl" w:eastAsia="en-US"/>
        </w:rPr>
        <w:footnoteReference w:id="16"/>
      </w:r>
    </w:p>
    <w:p w14:paraId="52EFEB17" w14:textId="77777777" w:rsidR="00485CE3" w:rsidRPr="00915460" w:rsidRDefault="00485CE3" w:rsidP="00915460">
      <w:pPr>
        <w:pStyle w:val="Heading1"/>
        <w:numPr>
          <w:ilvl w:val="0"/>
          <w:numId w:val="39"/>
        </w:numPr>
        <w:rPr>
          <w:snapToGrid w:val="0"/>
          <w:color w:val="auto"/>
          <w:lang w:val="es-ES_tradnl" w:eastAsia="es-ES"/>
        </w:rPr>
      </w:pPr>
      <w:bookmarkStart w:id="239" w:name="_Toc536777654"/>
      <w:bookmarkStart w:id="240" w:name="_Toc5026437"/>
      <w:bookmarkStart w:id="241" w:name="_Toc19971639"/>
      <w:bookmarkStart w:id="242" w:name="_Toc19971805"/>
      <w:bookmarkStart w:id="243" w:name="_Toc19971971"/>
      <w:bookmarkStart w:id="244" w:name="_Toc19972137"/>
      <w:bookmarkStart w:id="245" w:name="_Toc19972303"/>
      <w:bookmarkStart w:id="246" w:name="_Toc19972469"/>
      <w:bookmarkStart w:id="247" w:name="_Toc20466663"/>
      <w:bookmarkStart w:id="248" w:name="_Toc49506761"/>
      <w:bookmarkStart w:id="249" w:name="_Toc109287587"/>
      <w:r w:rsidRPr="00915460">
        <w:rPr>
          <w:snapToGrid w:val="0"/>
          <w:color w:val="auto"/>
          <w:lang w:val="es-ES_tradnl" w:eastAsia="es-ES"/>
        </w:rPr>
        <w:t xml:space="preserve">Evaluación del desempeño, rotación y </w:t>
      </w:r>
      <w:bookmarkEnd w:id="239"/>
      <w:bookmarkEnd w:id="240"/>
      <w:bookmarkEnd w:id="241"/>
      <w:bookmarkEnd w:id="242"/>
      <w:bookmarkEnd w:id="243"/>
      <w:bookmarkEnd w:id="244"/>
      <w:bookmarkEnd w:id="245"/>
      <w:bookmarkEnd w:id="246"/>
      <w:bookmarkEnd w:id="247"/>
      <w:r w:rsidRPr="00915460">
        <w:rPr>
          <w:snapToGrid w:val="0"/>
          <w:color w:val="auto"/>
          <w:lang w:val="es-ES_tradnl" w:eastAsia="es-ES"/>
        </w:rPr>
        <w:t>rescisión del contrato del auditor</w:t>
      </w:r>
      <w:bookmarkEnd w:id="248"/>
      <w:bookmarkEnd w:id="249"/>
    </w:p>
    <w:p w14:paraId="591AA31A" w14:textId="77777777" w:rsidR="00FF77AB" w:rsidRDefault="00FF77AB" w:rsidP="009E7948">
      <w:pPr>
        <w:spacing w:after="120"/>
        <w:jc w:val="both"/>
        <w:rPr>
          <w:rFonts w:eastAsia="Calibri"/>
          <w:sz w:val="24"/>
          <w:szCs w:val="22"/>
          <w:lang w:val="es-ES_tradnl" w:eastAsia="en-US"/>
        </w:rPr>
      </w:pPr>
    </w:p>
    <w:p w14:paraId="6DEFFCCD" w14:textId="77777777" w:rsidR="00485CE3" w:rsidRPr="009E7948" w:rsidRDefault="00485CE3" w:rsidP="009E7948">
      <w:pPr>
        <w:spacing w:after="120"/>
        <w:jc w:val="both"/>
        <w:rPr>
          <w:rFonts w:eastAsia="Calibri"/>
          <w:sz w:val="24"/>
          <w:szCs w:val="22"/>
          <w:lang w:val="es-ES_tradnl" w:eastAsia="en-US"/>
        </w:rPr>
      </w:pPr>
      <w:r w:rsidRPr="009E7948">
        <w:rPr>
          <w:rFonts w:eastAsia="Calibri"/>
          <w:sz w:val="24"/>
          <w:szCs w:val="22"/>
          <w:lang w:val="es-ES_tradnl" w:eastAsia="en-US"/>
        </w:rPr>
        <w:t xml:space="preserve">La auditoría deberá hacer referencia a las secciones pertinentes incluidas en las directrices de auditoría del Fondo Mundial relativas a cómo se evaluará su desempeño y las implicaciones del mismo en el contrato. </w:t>
      </w:r>
    </w:p>
    <w:p w14:paraId="2AC234F1" w14:textId="77777777" w:rsidR="00485CE3" w:rsidRPr="00915460" w:rsidRDefault="00485CE3" w:rsidP="00915460">
      <w:pPr>
        <w:pStyle w:val="Heading1"/>
        <w:numPr>
          <w:ilvl w:val="0"/>
          <w:numId w:val="39"/>
        </w:numPr>
        <w:rPr>
          <w:snapToGrid w:val="0"/>
          <w:color w:val="auto"/>
          <w:lang w:val="es-ES_tradnl" w:eastAsia="es-ES"/>
        </w:rPr>
      </w:pPr>
      <w:bookmarkStart w:id="250" w:name="_Toc5026438"/>
      <w:bookmarkStart w:id="251" w:name="_Toc19971640"/>
      <w:bookmarkStart w:id="252" w:name="_Toc19971806"/>
      <w:bookmarkStart w:id="253" w:name="_Toc19971972"/>
      <w:bookmarkStart w:id="254" w:name="_Toc19972138"/>
      <w:bookmarkStart w:id="255" w:name="_Toc19972304"/>
      <w:bookmarkStart w:id="256" w:name="_Toc19972470"/>
      <w:bookmarkStart w:id="257" w:name="_Toc20466664"/>
      <w:bookmarkStart w:id="258" w:name="_Toc49506762"/>
      <w:bookmarkStart w:id="259" w:name="_Toc109287588"/>
      <w:r w:rsidRPr="00915460">
        <w:rPr>
          <w:snapToGrid w:val="0"/>
          <w:color w:val="auto"/>
          <w:lang w:val="es-ES_tradnl" w:eastAsia="es-ES"/>
        </w:rPr>
        <w:t>Información</w:t>
      </w:r>
      <w:bookmarkEnd w:id="250"/>
      <w:bookmarkEnd w:id="251"/>
      <w:bookmarkEnd w:id="252"/>
      <w:bookmarkEnd w:id="253"/>
      <w:bookmarkEnd w:id="254"/>
      <w:bookmarkEnd w:id="255"/>
      <w:bookmarkEnd w:id="256"/>
      <w:bookmarkEnd w:id="257"/>
      <w:r w:rsidRPr="00915460">
        <w:rPr>
          <w:snapToGrid w:val="0"/>
          <w:color w:val="auto"/>
          <w:lang w:val="es-ES_tradnl" w:eastAsia="es-ES"/>
        </w:rPr>
        <w:t xml:space="preserve"> general</w:t>
      </w:r>
      <w:bookmarkEnd w:id="258"/>
      <w:bookmarkEnd w:id="259"/>
      <w:r w:rsidRPr="00915460">
        <w:rPr>
          <w:snapToGrid w:val="0"/>
          <w:color w:val="auto"/>
          <w:lang w:val="es-ES_tradnl" w:eastAsia="es-ES"/>
        </w:rPr>
        <w:t xml:space="preserve"> </w:t>
      </w:r>
    </w:p>
    <w:p w14:paraId="7775CDC0" w14:textId="77777777" w:rsidR="00FF77AB" w:rsidRDefault="00FF77AB" w:rsidP="009E7948">
      <w:pPr>
        <w:spacing w:after="120"/>
        <w:jc w:val="both"/>
        <w:rPr>
          <w:rFonts w:eastAsia="Calibri"/>
          <w:sz w:val="24"/>
          <w:szCs w:val="22"/>
          <w:lang w:val="es-ES_tradnl" w:eastAsia="en-US"/>
        </w:rPr>
      </w:pPr>
    </w:p>
    <w:p w14:paraId="7D633489" w14:textId="77777777" w:rsidR="00485CE3" w:rsidRPr="009E7948" w:rsidRDefault="00485CE3" w:rsidP="009E7948">
      <w:pPr>
        <w:spacing w:after="120"/>
        <w:jc w:val="both"/>
        <w:rPr>
          <w:rFonts w:eastAsia="Calibri"/>
          <w:sz w:val="24"/>
          <w:szCs w:val="22"/>
          <w:lang w:val="es-ES_tradnl" w:eastAsia="en-US"/>
        </w:rPr>
      </w:pPr>
      <w:r w:rsidRPr="009E7948">
        <w:rPr>
          <w:rFonts w:eastAsia="Calibri"/>
          <w:sz w:val="24"/>
          <w:szCs w:val="22"/>
          <w:lang w:val="es-ES_tradnl" w:eastAsia="en-US"/>
        </w:rPr>
        <w:t xml:space="preserve">El informe de auditoría y la carta de gestión adjunta, incluidas las respuestas del Receptor Principal, </w:t>
      </w:r>
      <w:r w:rsidRPr="009E7948">
        <w:rPr>
          <w:rFonts w:eastAsia="Calibri"/>
          <w:b/>
          <w:sz w:val="24"/>
          <w:szCs w:val="22"/>
          <w:lang w:val="es-ES_tradnl" w:eastAsia="en-US"/>
        </w:rPr>
        <w:t>debe</w:t>
      </w:r>
      <w:r w:rsidRPr="009E7948">
        <w:rPr>
          <w:rFonts w:eastAsia="Calibri"/>
          <w:sz w:val="24"/>
          <w:szCs w:val="22"/>
          <w:lang w:val="es-ES_tradnl" w:eastAsia="en-US"/>
        </w:rPr>
        <w:t xml:space="preserve"> recibirse en el Fondo Mundial dentro de los seis (6) meses posteriores a la conclusión del período de reporte bajo auditoría.</w:t>
      </w:r>
    </w:p>
    <w:p w14:paraId="61E35A49" w14:textId="77777777" w:rsidR="00485CE3" w:rsidRPr="009E7948" w:rsidRDefault="00485CE3" w:rsidP="009E7948">
      <w:pPr>
        <w:numPr>
          <w:ilvl w:val="0"/>
          <w:numId w:val="31"/>
        </w:numPr>
        <w:spacing w:after="120"/>
        <w:ind w:left="426"/>
        <w:contextualSpacing/>
        <w:jc w:val="both"/>
        <w:rPr>
          <w:rFonts w:eastAsia="Calibri"/>
          <w:sz w:val="24"/>
          <w:szCs w:val="22"/>
          <w:lang w:val="es-ES_tradnl" w:eastAsia="en-US"/>
        </w:rPr>
      </w:pPr>
      <w:r w:rsidRPr="009E7948">
        <w:rPr>
          <w:rFonts w:eastAsia="Calibri"/>
          <w:sz w:val="24"/>
          <w:szCs w:val="22"/>
          <w:lang w:val="es-ES_tradnl" w:eastAsia="en-US"/>
        </w:rPr>
        <w:t xml:space="preserve">A la firma auditora seleccionada también se le concederá el acceso puntual, pleno e irrestricto al sistema de gestión financiera, registro contable, activos, propiedad y personal del Receptor Principal (y los </w:t>
      </w:r>
      <w:r w:rsidR="006A0A92" w:rsidRPr="009E7948">
        <w:rPr>
          <w:rFonts w:eastAsia="Calibri"/>
          <w:sz w:val="24"/>
          <w:szCs w:val="22"/>
          <w:lang w:val="es-ES_tradnl" w:eastAsia="en-US"/>
        </w:rPr>
        <w:t>su</w:t>
      </w:r>
      <w:r w:rsidR="004B6582">
        <w:rPr>
          <w:rFonts w:eastAsia="Calibri"/>
          <w:sz w:val="24"/>
          <w:szCs w:val="22"/>
          <w:lang w:val="es-ES_tradnl" w:eastAsia="en-US"/>
        </w:rPr>
        <w:t>b</w:t>
      </w:r>
      <w:r w:rsidR="006A0A92" w:rsidRPr="009E7948">
        <w:rPr>
          <w:rFonts w:eastAsia="Calibri"/>
          <w:sz w:val="24"/>
          <w:szCs w:val="22"/>
          <w:lang w:val="es-ES_tradnl" w:eastAsia="en-US"/>
        </w:rPr>
        <w:t>receptores</w:t>
      </w:r>
      <w:r w:rsidRPr="009E7948">
        <w:rPr>
          <w:rFonts w:eastAsia="Calibri"/>
          <w:sz w:val="24"/>
          <w:szCs w:val="22"/>
          <w:lang w:val="es-ES_tradnl" w:eastAsia="en-US"/>
        </w:rPr>
        <w:t>) que puedan ayudar a aclarar cualquier cuestión relacionada con la auditoría.</w:t>
      </w:r>
    </w:p>
    <w:p w14:paraId="6A0B9FB9" w14:textId="77777777" w:rsidR="00485CE3" w:rsidRDefault="00485CE3" w:rsidP="009E7948">
      <w:pPr>
        <w:numPr>
          <w:ilvl w:val="0"/>
          <w:numId w:val="31"/>
        </w:numPr>
        <w:spacing w:after="120"/>
        <w:ind w:left="426"/>
        <w:contextualSpacing/>
        <w:jc w:val="both"/>
        <w:rPr>
          <w:rFonts w:eastAsia="Calibri"/>
          <w:sz w:val="24"/>
          <w:szCs w:val="22"/>
          <w:lang w:val="es-ES_tradnl" w:eastAsia="en-US"/>
        </w:rPr>
      </w:pPr>
      <w:r w:rsidRPr="009E7948">
        <w:rPr>
          <w:rFonts w:eastAsia="Calibri"/>
          <w:sz w:val="24"/>
          <w:szCs w:val="22"/>
          <w:lang w:val="es-ES_tradnl" w:eastAsia="en-US"/>
        </w:rPr>
        <w:t>Con el fin de ayudar a la firma auditora seleccionada en la planificación de la auditoría, el Receptor Principal facilitará, como mínimo, los documentos y la información indicados a continuación. Como parte de los requisitos de auditoría relativos a la comprensión de la naturaleza de las operaciones de la entidad, se recomienda especialmente que los auditores estén familiarizados con los siguientes puntos:</w:t>
      </w:r>
    </w:p>
    <w:p w14:paraId="5AFB6A0D" w14:textId="77777777" w:rsidR="00FF77AB" w:rsidRPr="009E7948" w:rsidRDefault="00FF77AB" w:rsidP="00FF77AB">
      <w:pPr>
        <w:spacing w:after="120"/>
        <w:ind w:left="426"/>
        <w:contextualSpacing/>
        <w:jc w:val="both"/>
        <w:rPr>
          <w:rFonts w:eastAsia="Calibri"/>
          <w:sz w:val="24"/>
          <w:szCs w:val="22"/>
          <w:lang w:val="es-ES_tradnl" w:eastAsia="en-US"/>
        </w:rPr>
      </w:pPr>
    </w:p>
    <w:p w14:paraId="7A20597F" w14:textId="77777777" w:rsidR="00485CE3" w:rsidRPr="009E7948" w:rsidRDefault="00485CE3" w:rsidP="009E7948">
      <w:pPr>
        <w:numPr>
          <w:ilvl w:val="0"/>
          <w:numId w:val="36"/>
        </w:numPr>
        <w:spacing w:after="120"/>
        <w:ind w:left="851"/>
        <w:jc w:val="both"/>
        <w:rPr>
          <w:rFonts w:eastAsia="MS Mincho"/>
          <w:sz w:val="24"/>
          <w:szCs w:val="22"/>
          <w:lang w:val="es-ES_tradnl" w:eastAsia="en-US"/>
        </w:rPr>
      </w:pPr>
      <w:r w:rsidRPr="009E7948">
        <w:rPr>
          <w:rFonts w:eastAsia="MS Mincho"/>
          <w:noProof/>
          <w:sz w:val="24"/>
          <w:szCs w:val="22"/>
          <w:lang w:val="es-ES_tradnl" w:eastAsia="en-US"/>
        </w:rPr>
        <w:t xml:space="preserve">Las </w:t>
      </w:r>
      <w:r w:rsidRPr="009E7948">
        <w:rPr>
          <w:rFonts w:eastAsia="Calibri"/>
          <w:sz w:val="24"/>
          <w:szCs w:val="22"/>
          <w:lang w:val="es-ES_tradnl" w:eastAsia="en-US"/>
        </w:rPr>
        <w:t>Directrices sobre las auditorías anuales de los estados financieros del programa de subvenciones del Fondo Mundial</w:t>
      </w:r>
      <w:r w:rsidRPr="009E7948">
        <w:rPr>
          <w:rFonts w:eastAsia="MS Mincho"/>
          <w:noProof/>
          <w:sz w:val="24"/>
          <w:szCs w:val="22"/>
          <w:lang w:val="es-ES_tradnl" w:eastAsia="en-US"/>
        </w:rPr>
        <w:t xml:space="preserve">: </w:t>
      </w:r>
      <w:hyperlink r:id="rId29" w:history="1">
        <w:r w:rsidRPr="009E7948">
          <w:rPr>
            <w:rFonts w:eastAsia="MS Mincho"/>
            <w:iCs/>
            <w:noProof/>
            <w:color w:val="0563C1"/>
            <w:sz w:val="24"/>
            <w:szCs w:val="22"/>
            <w:u w:val="single"/>
            <w:lang w:val="es-ES_tradnl" w:eastAsia="en-US"/>
          </w:rPr>
          <w:t>Directrices y herramientas: El Fondo Mundial de lucha contra el sida, la tuberculosis y la malaria</w:t>
        </w:r>
      </w:hyperlink>
      <w:r w:rsidRPr="009E7948">
        <w:rPr>
          <w:rFonts w:eastAsia="MS Mincho"/>
          <w:noProof/>
          <w:sz w:val="24"/>
          <w:szCs w:val="22"/>
          <w:lang w:val="es-ES_tradnl" w:eastAsia="en-US"/>
        </w:rPr>
        <w:t>;</w:t>
      </w:r>
    </w:p>
    <w:p w14:paraId="4616691A" w14:textId="77777777" w:rsidR="00485CE3" w:rsidRPr="009E7948" w:rsidRDefault="00485CE3" w:rsidP="009E7948">
      <w:pPr>
        <w:numPr>
          <w:ilvl w:val="0"/>
          <w:numId w:val="36"/>
        </w:numPr>
        <w:spacing w:after="120"/>
        <w:ind w:left="851"/>
        <w:jc w:val="both"/>
        <w:rPr>
          <w:rFonts w:eastAsia="MS Mincho"/>
          <w:sz w:val="24"/>
          <w:szCs w:val="22"/>
          <w:lang w:val="es-ES_tradnl" w:eastAsia="en-US"/>
        </w:rPr>
      </w:pPr>
      <w:r w:rsidRPr="009E7948">
        <w:rPr>
          <w:rFonts w:eastAsia="MS Mincho"/>
          <w:noProof/>
          <w:sz w:val="24"/>
          <w:szCs w:val="22"/>
          <w:lang w:val="es-ES_tradnl" w:eastAsia="en-US"/>
        </w:rPr>
        <w:t xml:space="preserve">Los acuerdos de subvención entre el Receptor </w:t>
      </w:r>
      <w:r w:rsidRPr="009E7948">
        <w:rPr>
          <w:rFonts w:eastAsia="Calibri"/>
          <w:sz w:val="24"/>
          <w:szCs w:val="22"/>
          <w:lang w:val="es-ES_tradnl" w:eastAsia="en-US"/>
        </w:rPr>
        <w:t xml:space="preserve">Principal </w:t>
      </w:r>
      <w:r w:rsidRPr="009E7948">
        <w:rPr>
          <w:rFonts w:eastAsia="MS Mincho"/>
          <w:noProof/>
          <w:sz w:val="24"/>
          <w:szCs w:val="22"/>
          <w:lang w:val="es-ES_tradnl" w:eastAsia="en-US"/>
        </w:rPr>
        <w:t>y el Fondo Mundial y los acuerdos de sub-subvención suscritos con subreceptores. Cualquier correspondencia por parte del FondoMundial dando su aprobación a un presupuesto reprogramado que afecte al año auditado;</w:t>
      </w:r>
    </w:p>
    <w:p w14:paraId="64CAEFF9" w14:textId="77777777" w:rsidR="00485CE3" w:rsidRPr="009E7948" w:rsidRDefault="00485CE3" w:rsidP="009E7948">
      <w:pPr>
        <w:numPr>
          <w:ilvl w:val="0"/>
          <w:numId w:val="36"/>
        </w:numPr>
        <w:spacing w:after="120"/>
        <w:ind w:left="851"/>
        <w:jc w:val="both"/>
        <w:rPr>
          <w:rFonts w:eastAsia="MS Mincho"/>
          <w:sz w:val="24"/>
          <w:szCs w:val="22"/>
          <w:lang w:val="es-ES_tradnl" w:eastAsia="en-US"/>
        </w:rPr>
      </w:pPr>
      <w:r w:rsidRPr="009E7948">
        <w:rPr>
          <w:rFonts w:eastAsia="MS Mincho"/>
          <w:noProof/>
          <w:sz w:val="24"/>
          <w:szCs w:val="22"/>
          <w:lang w:val="es-ES_tradnl" w:eastAsia="en-US"/>
        </w:rPr>
        <w:t>Las actualizaciones deactualizaciones de progresos (PU/DR) y cartas de gestión. Debe obtenerse asimismo la confirmación de los montos desembolsados y pendientes del Fondo Mundial;</w:t>
      </w:r>
    </w:p>
    <w:p w14:paraId="58650204" w14:textId="77777777" w:rsidR="00485CE3" w:rsidRPr="009E7948" w:rsidRDefault="00485CE3" w:rsidP="009E7948">
      <w:pPr>
        <w:numPr>
          <w:ilvl w:val="0"/>
          <w:numId w:val="36"/>
        </w:numPr>
        <w:spacing w:after="120"/>
        <w:ind w:left="851"/>
        <w:jc w:val="both"/>
        <w:rPr>
          <w:rFonts w:eastAsia="MS Mincho"/>
          <w:sz w:val="24"/>
          <w:szCs w:val="22"/>
          <w:lang w:val="en-US" w:eastAsia="en-US"/>
        </w:rPr>
      </w:pPr>
      <w:r w:rsidRPr="009E7948">
        <w:rPr>
          <w:rFonts w:eastAsia="MS Mincho"/>
          <w:sz w:val="24"/>
          <w:szCs w:val="22"/>
          <w:lang w:val="es-ES_tradnl" w:eastAsia="en-US"/>
        </w:rPr>
        <w:t>Informes financieros anuales</w:t>
      </w:r>
      <w:r w:rsidRPr="009E7948">
        <w:rPr>
          <w:rFonts w:eastAsia="MS Mincho"/>
          <w:sz w:val="24"/>
          <w:szCs w:val="22"/>
          <w:lang w:val="en-US" w:eastAsia="en-US"/>
        </w:rPr>
        <w:t xml:space="preserve"> (IFA);</w:t>
      </w:r>
    </w:p>
    <w:p w14:paraId="360B3622" w14:textId="77777777" w:rsidR="00485CE3" w:rsidRPr="009E7948" w:rsidRDefault="00485CE3" w:rsidP="009E7948">
      <w:pPr>
        <w:numPr>
          <w:ilvl w:val="0"/>
          <w:numId w:val="36"/>
        </w:numPr>
        <w:spacing w:after="120"/>
        <w:ind w:left="851"/>
        <w:jc w:val="both"/>
        <w:rPr>
          <w:rFonts w:eastAsia="MS Mincho"/>
          <w:color w:val="0070C0"/>
          <w:sz w:val="24"/>
          <w:szCs w:val="22"/>
          <w:lang w:val="es-ES_tradnl" w:eastAsia="en-US"/>
        </w:rPr>
      </w:pPr>
      <w:r w:rsidRPr="009E7948">
        <w:rPr>
          <w:rFonts w:eastAsia="MS Mincho"/>
          <w:noProof/>
          <w:sz w:val="24"/>
          <w:szCs w:val="22"/>
          <w:lang w:val="es-ES_tradnl" w:eastAsia="en-US"/>
        </w:rPr>
        <w:t xml:space="preserve">Directrices para elaborar presupuestos de programas del Fondo Mundial: </w:t>
      </w:r>
      <w:r w:rsidRPr="009E7948">
        <w:rPr>
          <w:rFonts w:eastAsia="MS Mincho"/>
          <w:noProof/>
          <w:color w:val="0070C0"/>
          <w:sz w:val="24"/>
          <w:szCs w:val="22"/>
          <w:lang w:val="en-US" w:eastAsia="en-US"/>
        </w:rPr>
        <w:fldChar w:fldCharType="begin"/>
      </w:r>
      <w:r w:rsidRPr="009E7948">
        <w:rPr>
          <w:rFonts w:eastAsia="MS Mincho"/>
          <w:noProof/>
          <w:color w:val="0070C0"/>
          <w:sz w:val="24"/>
          <w:szCs w:val="22"/>
          <w:lang w:val="es-ES" w:eastAsia="en-US"/>
        </w:rPr>
        <w:instrText>HYPERLINK "https://www.theglobalfund.org/media/9508/core_budgetinginglobalfundgrants_guideline_es.pdf?u=637341239169000000"</w:instrText>
      </w:r>
      <w:r w:rsidRPr="009E7948">
        <w:rPr>
          <w:rFonts w:eastAsia="MS Mincho"/>
          <w:noProof/>
          <w:color w:val="0070C0"/>
          <w:sz w:val="24"/>
          <w:szCs w:val="22"/>
          <w:lang w:val="en-US" w:eastAsia="en-US"/>
        </w:rPr>
        <w:fldChar w:fldCharType="separate"/>
      </w:r>
      <w:r w:rsidRPr="009E7948">
        <w:rPr>
          <w:rFonts w:eastAsia="MS Mincho"/>
          <w:noProof/>
          <w:color w:val="0070C0"/>
          <w:sz w:val="24"/>
          <w:szCs w:val="22"/>
          <w:lang w:val="es-ES_tradnl" w:eastAsia="en-US"/>
        </w:rPr>
        <w:t>The Global Fund Guidelines for Grant Budgeting;</w:t>
      </w:r>
    </w:p>
    <w:p w14:paraId="672898A8" w14:textId="77777777" w:rsidR="00485CE3" w:rsidRPr="009E7948" w:rsidRDefault="00485CE3" w:rsidP="009E7948">
      <w:pPr>
        <w:numPr>
          <w:ilvl w:val="0"/>
          <w:numId w:val="36"/>
        </w:numPr>
        <w:spacing w:after="120"/>
        <w:ind w:left="851"/>
        <w:jc w:val="both"/>
        <w:rPr>
          <w:rFonts w:eastAsia="MS Mincho" w:cs="Arial"/>
          <w:sz w:val="24"/>
          <w:szCs w:val="22"/>
          <w:lang w:val="es-ES_tradnl" w:eastAsia="en-US"/>
        </w:rPr>
      </w:pPr>
      <w:r w:rsidRPr="009E7948">
        <w:rPr>
          <w:rFonts w:eastAsia="MS Mincho" w:cs="Arial"/>
          <w:noProof/>
          <w:color w:val="0070C0"/>
          <w:sz w:val="24"/>
          <w:szCs w:val="22"/>
          <w:lang w:val="en-US" w:eastAsia="en-US"/>
        </w:rPr>
        <w:fldChar w:fldCharType="end"/>
      </w:r>
      <w:r w:rsidRPr="009E7948">
        <w:rPr>
          <w:rFonts w:eastAsia="Arial" w:cs="Arial"/>
          <w:sz w:val="24"/>
          <w:szCs w:val="22"/>
          <w:lang w:val="es-ES_tradnl" w:eastAsia="en-US"/>
        </w:rPr>
        <w:t xml:space="preserve">Manuales aprobados de finanzas, adquisiciones, gestión de </w:t>
      </w:r>
      <w:r w:rsidR="004B6582">
        <w:rPr>
          <w:rFonts w:eastAsia="Arial" w:cs="Arial"/>
          <w:sz w:val="24"/>
          <w:szCs w:val="22"/>
          <w:lang w:val="es-ES_tradnl" w:eastAsia="en-US"/>
        </w:rPr>
        <w:t>sub</w:t>
      </w:r>
      <w:r w:rsidR="006A0A92" w:rsidRPr="009E7948">
        <w:rPr>
          <w:rFonts w:eastAsia="Arial" w:cs="Arial"/>
          <w:sz w:val="24"/>
          <w:szCs w:val="22"/>
          <w:lang w:val="es-ES_tradnl" w:eastAsia="en-US"/>
        </w:rPr>
        <w:t>receptores</w:t>
      </w:r>
      <w:r w:rsidRPr="009E7948">
        <w:rPr>
          <w:rFonts w:eastAsia="Arial" w:cs="Arial"/>
          <w:sz w:val="24"/>
          <w:szCs w:val="22"/>
          <w:lang w:val="es-ES_tradnl" w:eastAsia="en-US"/>
        </w:rPr>
        <w:t xml:space="preserve"> y otros manuales pertinentes del Receptor Principal</w:t>
      </w:r>
      <w:r w:rsidRPr="009E7948">
        <w:rPr>
          <w:rFonts w:eastAsia="MS Mincho" w:cs="Arial"/>
          <w:noProof/>
          <w:sz w:val="24"/>
          <w:szCs w:val="22"/>
          <w:lang w:val="es-ES_tradnl" w:eastAsia="en-US"/>
        </w:rPr>
        <w:t>;</w:t>
      </w:r>
    </w:p>
    <w:p w14:paraId="1B754ADD" w14:textId="77777777" w:rsidR="00485CE3" w:rsidRPr="009E7948" w:rsidRDefault="00485CE3" w:rsidP="009E7948">
      <w:pPr>
        <w:numPr>
          <w:ilvl w:val="0"/>
          <w:numId w:val="36"/>
        </w:numPr>
        <w:spacing w:after="120"/>
        <w:ind w:left="851"/>
        <w:jc w:val="both"/>
        <w:rPr>
          <w:rFonts w:eastAsia="MS Mincho"/>
          <w:noProof/>
          <w:sz w:val="24"/>
          <w:szCs w:val="22"/>
          <w:lang w:val="es-ES_tradnl" w:eastAsia="en-US"/>
        </w:rPr>
      </w:pPr>
      <w:r w:rsidRPr="009E7948">
        <w:rPr>
          <w:rFonts w:eastAsia="MS Mincho"/>
          <w:noProof/>
          <w:sz w:val="24"/>
          <w:szCs w:val="22"/>
          <w:lang w:val="es-ES_tradnl" w:eastAsia="en-US"/>
        </w:rPr>
        <w:t xml:space="preserve">Se recomienda asimismo familiarizarse con la propuesta/nota conceptual bajo la cual se está ejecutando la subvención. Las propuestas están disponibles en el siguiente enlace </w:t>
      </w:r>
      <w:r w:rsidRPr="009E7948">
        <w:rPr>
          <w:rFonts w:eastAsia="MS Mincho"/>
          <w:iCs/>
          <w:noProof/>
          <w:color w:val="0000FF"/>
          <w:sz w:val="24"/>
          <w:szCs w:val="22"/>
          <w:u w:val="single"/>
          <w:lang w:val="es-ES_tradnl" w:eastAsia="en-US"/>
        </w:rPr>
        <w:t>Portafolio de subvenciones - El Fondo Mundial de lucha contra el sida, la tuberculosis y la malaria</w:t>
      </w:r>
      <w:r w:rsidRPr="009E7948">
        <w:rPr>
          <w:rFonts w:eastAsia="MS Mincho"/>
          <w:noProof/>
          <w:color w:val="0000FF"/>
          <w:sz w:val="24"/>
          <w:szCs w:val="22"/>
          <w:lang w:val="es-ES_tradnl" w:eastAsia="en-US"/>
        </w:rPr>
        <w:t xml:space="preserve"> </w:t>
      </w:r>
      <w:r w:rsidRPr="009E7948">
        <w:rPr>
          <w:rFonts w:eastAsia="MS Mincho"/>
          <w:noProof/>
          <w:sz w:val="24"/>
          <w:szCs w:val="22"/>
          <w:lang w:val="es-ES_tradnl" w:eastAsia="en-US"/>
        </w:rPr>
        <w:t>y luego navegar a la página del país respectivo.</w:t>
      </w:r>
    </w:p>
    <w:p w14:paraId="7DC5ADFD" w14:textId="77777777" w:rsidR="00485CE3" w:rsidRPr="009E7948" w:rsidRDefault="00485CE3" w:rsidP="009E7948">
      <w:pPr>
        <w:spacing w:after="120"/>
        <w:ind w:left="426"/>
        <w:contextualSpacing/>
        <w:jc w:val="both"/>
        <w:rPr>
          <w:rFonts w:eastAsia="Calibri"/>
          <w:sz w:val="24"/>
          <w:szCs w:val="22"/>
          <w:lang w:val="es-ES_tradnl" w:eastAsia="en-US"/>
        </w:rPr>
      </w:pPr>
    </w:p>
    <w:p w14:paraId="23B0BB79" w14:textId="77777777" w:rsidR="00485CE3" w:rsidRPr="009E7948" w:rsidRDefault="00485CE3" w:rsidP="009E7948">
      <w:pPr>
        <w:spacing w:after="120"/>
        <w:contextualSpacing/>
        <w:jc w:val="both"/>
        <w:rPr>
          <w:rFonts w:eastAsia="Calibri"/>
          <w:sz w:val="24"/>
          <w:szCs w:val="22"/>
          <w:lang w:val="es-ES_tradnl" w:eastAsia="en-US"/>
        </w:rPr>
      </w:pPr>
      <w:r w:rsidRPr="009E7948">
        <w:rPr>
          <w:rFonts w:eastAsia="Calibri"/>
          <w:sz w:val="24"/>
          <w:szCs w:val="22"/>
          <w:lang w:val="es-ES_tradnl" w:eastAsia="en-US"/>
        </w:rPr>
        <w:t>El auditor debe ponerse en contacto con el ALF antes de preparar el plan de auditoría que permita al ALF destacar cualesquiera deficiencias y áreas de preocupación clave por adelantado. Durante el curso de la auditoría se alentará al auditor a ponerse en contacto con el ALF cómo y cuando sea necesario con el fin de obtener cualquier información/aclaración adicional.</w:t>
      </w:r>
    </w:p>
    <w:p w14:paraId="4E14CE79" w14:textId="77777777" w:rsidR="00485CE3" w:rsidRPr="00915460" w:rsidRDefault="00485CE3" w:rsidP="00915460">
      <w:pPr>
        <w:pStyle w:val="Heading2"/>
        <w:numPr>
          <w:ilvl w:val="1"/>
          <w:numId w:val="39"/>
        </w:numPr>
        <w:rPr>
          <w:b/>
          <w:snapToGrid w:val="0"/>
          <w:color w:val="auto"/>
          <w:lang w:val="es-ES_tradnl" w:eastAsia="es-ES"/>
        </w:rPr>
      </w:pPr>
      <w:bookmarkStart w:id="260" w:name="_Toc529123612"/>
      <w:r w:rsidRPr="00915460">
        <w:rPr>
          <w:b/>
          <w:snapToGrid w:val="0"/>
          <w:color w:val="auto"/>
          <w:lang w:val="es-ES_tradnl" w:eastAsia="es-ES"/>
        </w:rPr>
        <w:t xml:space="preserve"> </w:t>
      </w:r>
      <w:bookmarkStart w:id="261" w:name="_Toc5026439"/>
      <w:bookmarkStart w:id="262" w:name="_Toc19971641"/>
      <w:bookmarkStart w:id="263" w:name="_Toc19971807"/>
      <w:bookmarkStart w:id="264" w:name="_Toc19971973"/>
      <w:bookmarkStart w:id="265" w:name="_Toc19972139"/>
      <w:bookmarkStart w:id="266" w:name="_Toc19972305"/>
      <w:bookmarkStart w:id="267" w:name="_Toc19972471"/>
      <w:bookmarkStart w:id="268" w:name="_Toc20466665"/>
      <w:bookmarkStart w:id="269" w:name="_Toc49506763"/>
      <w:bookmarkStart w:id="270" w:name="_Toc109287589"/>
      <w:r w:rsidRPr="00915460">
        <w:rPr>
          <w:b/>
          <w:snapToGrid w:val="0"/>
          <w:color w:val="auto"/>
          <w:lang w:val="es-ES_tradnl" w:eastAsia="es-ES"/>
        </w:rPr>
        <w:t>Directrices generales para la carta de gestión (M/L)</w:t>
      </w:r>
      <w:bookmarkEnd w:id="260"/>
      <w:bookmarkEnd w:id="261"/>
      <w:bookmarkEnd w:id="262"/>
      <w:bookmarkEnd w:id="263"/>
      <w:bookmarkEnd w:id="264"/>
      <w:bookmarkEnd w:id="265"/>
      <w:bookmarkEnd w:id="266"/>
      <w:bookmarkEnd w:id="267"/>
      <w:bookmarkEnd w:id="268"/>
      <w:bookmarkEnd w:id="269"/>
      <w:bookmarkEnd w:id="270"/>
      <w:r w:rsidRPr="00915460">
        <w:rPr>
          <w:b/>
          <w:snapToGrid w:val="0"/>
          <w:color w:val="auto"/>
          <w:lang w:val="es-ES_tradnl" w:eastAsia="es-ES"/>
        </w:rPr>
        <w:tab/>
      </w:r>
    </w:p>
    <w:p w14:paraId="0F41D6AB" w14:textId="77777777" w:rsidR="00485CE3" w:rsidRPr="009E7948" w:rsidRDefault="00485CE3" w:rsidP="009E7948">
      <w:pPr>
        <w:tabs>
          <w:tab w:val="left" w:pos="3660"/>
        </w:tabs>
        <w:spacing w:after="120"/>
        <w:ind w:left="284"/>
        <w:jc w:val="both"/>
        <w:rPr>
          <w:rFonts w:eastAsia="MS Mincho"/>
          <w:sz w:val="24"/>
          <w:szCs w:val="22"/>
          <w:lang w:val="es-ES_tradnl" w:eastAsia="en-US"/>
        </w:rPr>
      </w:pPr>
      <w:r w:rsidRPr="009E7948">
        <w:rPr>
          <w:rFonts w:eastAsia="MS Mincho"/>
          <w:noProof/>
          <w:sz w:val="24"/>
          <w:szCs w:val="22"/>
          <w:lang w:val="es-ES_tradnl" w:eastAsia="en-US"/>
        </w:rPr>
        <w:t>La siguiente es una guía general sobre los elementos esenciales de la carta de gestión y no debe considerarse como una lista exhaustiva de requisitos. Para más orientación se deben consultar los siguientes recursos del Consejo de Normas Internacionales de Auditoría y Asesoramiento (IAASB):</w:t>
      </w:r>
    </w:p>
    <w:p w14:paraId="6BD5285F" w14:textId="77777777" w:rsidR="00485CE3" w:rsidRPr="009E7948" w:rsidRDefault="00BC6CEC" w:rsidP="009E7948">
      <w:pPr>
        <w:numPr>
          <w:ilvl w:val="0"/>
          <w:numId w:val="37"/>
        </w:numPr>
        <w:tabs>
          <w:tab w:val="left" w:pos="3660"/>
        </w:tabs>
        <w:spacing w:after="120"/>
        <w:contextualSpacing/>
        <w:rPr>
          <w:rFonts w:eastAsia="Calibri"/>
          <w:color w:val="0000FF"/>
          <w:sz w:val="24"/>
          <w:szCs w:val="22"/>
          <w:u w:val="single"/>
          <w:lang w:val="es-ES_tradnl" w:eastAsia="en-US"/>
        </w:rPr>
      </w:pPr>
      <w:r>
        <w:rPr>
          <w:rFonts w:eastAsia="Calibri"/>
          <w:noProof/>
          <w:sz w:val="24"/>
          <w:szCs w:val="22"/>
          <w:lang w:val="es-ES_tradnl" w:eastAsia="en-US"/>
        </w:rPr>
        <w:t>normas para comunicar pr</w:t>
      </w:r>
      <w:r w:rsidR="00485CE3" w:rsidRPr="009E7948">
        <w:rPr>
          <w:rFonts w:eastAsia="Calibri"/>
          <w:noProof/>
          <w:sz w:val="24"/>
          <w:szCs w:val="22"/>
          <w:lang w:val="es-ES_tradnl" w:eastAsia="en-US"/>
        </w:rPr>
        <w:t xml:space="preserve">oblemas de la carta de gestión a los responsables de la gobernanza de una entidad:  </w:t>
      </w:r>
      <w:hyperlink r:id="rId30" w:history="1">
        <w:r w:rsidR="00485CE3" w:rsidRPr="009E7948">
          <w:rPr>
            <w:rFonts w:eastAsia="Calibri"/>
            <w:noProof/>
            <w:color w:val="0000FF"/>
            <w:sz w:val="24"/>
            <w:szCs w:val="22"/>
            <w:u w:val="single"/>
            <w:lang w:val="es-ES_tradnl" w:eastAsia="en-US"/>
          </w:rPr>
          <w:t>http://web.ifac.org/download/ISA_260_standalone_2009_Handbook.pdf</w:t>
        </w:r>
      </w:hyperlink>
    </w:p>
    <w:p w14:paraId="6B7AC4F0" w14:textId="77777777" w:rsidR="00485CE3" w:rsidRPr="009E7948" w:rsidRDefault="00485CE3" w:rsidP="009E7948">
      <w:pPr>
        <w:tabs>
          <w:tab w:val="left" w:pos="3660"/>
        </w:tabs>
        <w:spacing w:after="120"/>
        <w:ind w:left="1004"/>
        <w:contextualSpacing/>
        <w:jc w:val="both"/>
        <w:rPr>
          <w:rFonts w:eastAsia="Calibri"/>
          <w:sz w:val="24"/>
          <w:szCs w:val="22"/>
          <w:lang w:val="es-ES_tradnl" w:eastAsia="en-US"/>
        </w:rPr>
      </w:pPr>
    </w:p>
    <w:p w14:paraId="5FE211EA" w14:textId="77777777" w:rsidR="00485CE3" w:rsidRPr="009E7948" w:rsidRDefault="00485CE3" w:rsidP="009E7948">
      <w:pPr>
        <w:numPr>
          <w:ilvl w:val="0"/>
          <w:numId w:val="37"/>
        </w:numPr>
        <w:tabs>
          <w:tab w:val="left" w:pos="3660"/>
        </w:tabs>
        <w:spacing w:after="120"/>
        <w:contextualSpacing/>
        <w:jc w:val="both"/>
        <w:rPr>
          <w:rFonts w:eastAsia="Calibri"/>
          <w:noProof/>
          <w:sz w:val="24"/>
          <w:szCs w:val="22"/>
          <w:lang w:val="es-ES_tradnl" w:eastAsia="en-US"/>
        </w:rPr>
      </w:pPr>
      <w:r w:rsidRPr="009E7948">
        <w:rPr>
          <w:rFonts w:eastAsia="Calibri"/>
          <w:noProof/>
          <w:sz w:val="24"/>
          <w:szCs w:val="22"/>
          <w:lang w:val="es-ES_tradnl" w:eastAsia="en-US"/>
        </w:rPr>
        <w:t>también las normas para informar de deficiencias en el control interno:</w:t>
      </w:r>
    </w:p>
    <w:p w14:paraId="7ED6190B" w14:textId="77777777" w:rsidR="00485CE3" w:rsidRPr="009E7948" w:rsidRDefault="004E53D6" w:rsidP="009E7948">
      <w:pPr>
        <w:tabs>
          <w:tab w:val="left" w:pos="3660"/>
        </w:tabs>
        <w:spacing w:after="120"/>
        <w:ind w:left="1004"/>
        <w:contextualSpacing/>
        <w:jc w:val="both"/>
        <w:rPr>
          <w:rFonts w:eastAsia="Calibri"/>
          <w:noProof/>
          <w:color w:val="0000FF"/>
          <w:sz w:val="24"/>
          <w:szCs w:val="22"/>
          <w:u w:val="single"/>
          <w:lang w:val="es-ES_tradnl" w:eastAsia="en-US"/>
        </w:rPr>
      </w:pPr>
      <w:hyperlink r:id="rId31" w:history="1">
        <w:r w:rsidR="00485CE3" w:rsidRPr="009E7948">
          <w:rPr>
            <w:rFonts w:eastAsia="Calibri"/>
            <w:noProof/>
            <w:color w:val="0000FF"/>
            <w:sz w:val="24"/>
            <w:szCs w:val="22"/>
            <w:u w:val="single"/>
            <w:lang w:val="es-ES_tradnl" w:eastAsia="en-US"/>
          </w:rPr>
          <w:t>http://web.ifac.org/download/ISA_265_standalone_2009_Handbook.pdf</w:t>
        </w:r>
      </w:hyperlink>
      <w:r w:rsidR="00485CE3" w:rsidRPr="009E7948">
        <w:rPr>
          <w:rFonts w:eastAsia="Calibri"/>
          <w:noProof/>
          <w:color w:val="0000FF"/>
          <w:sz w:val="24"/>
          <w:szCs w:val="22"/>
          <w:u w:val="single"/>
          <w:lang w:val="es-ES_tradnl" w:eastAsia="en-US"/>
        </w:rPr>
        <w:t>.</w:t>
      </w:r>
    </w:p>
    <w:p w14:paraId="768BAF6F" w14:textId="77777777" w:rsidR="00485CE3" w:rsidRPr="009E7948" w:rsidRDefault="00485CE3" w:rsidP="009E7948">
      <w:pPr>
        <w:tabs>
          <w:tab w:val="left" w:pos="3660"/>
        </w:tabs>
        <w:spacing w:after="120"/>
        <w:ind w:left="1004"/>
        <w:contextualSpacing/>
        <w:jc w:val="both"/>
        <w:rPr>
          <w:rFonts w:eastAsia="Calibri"/>
          <w:noProof/>
          <w:sz w:val="24"/>
          <w:szCs w:val="22"/>
          <w:lang w:val="es-ES_tradnl" w:eastAsia="en-US"/>
        </w:rPr>
      </w:pPr>
    </w:p>
    <w:p w14:paraId="67D619A7" w14:textId="77777777" w:rsidR="00485CE3" w:rsidRPr="009E7948" w:rsidRDefault="00485CE3" w:rsidP="009E7948">
      <w:pPr>
        <w:tabs>
          <w:tab w:val="left" w:pos="3660"/>
        </w:tabs>
        <w:spacing w:after="120"/>
        <w:ind w:left="284"/>
        <w:jc w:val="both"/>
        <w:rPr>
          <w:rFonts w:eastAsia="MS Mincho"/>
          <w:noProof/>
          <w:sz w:val="24"/>
          <w:szCs w:val="22"/>
          <w:lang w:val="es-ES_tradnl" w:eastAsia="en-US"/>
        </w:rPr>
      </w:pPr>
      <w:r w:rsidRPr="009E7948">
        <w:rPr>
          <w:rFonts w:eastAsia="MS Mincho"/>
          <w:noProof/>
          <w:sz w:val="24"/>
          <w:szCs w:val="22"/>
          <w:lang w:val="es-ES_tradnl" w:eastAsia="en-US"/>
        </w:rPr>
        <w:t xml:space="preserve">En el caso de auditores del sector público o del gobierno (es decir, la Institución Máxima de Auditoría), las directrices pueden extraerse de las normas de INTOSAI (véase el capítulo 4 del  Código de Ética y Normas de Auditoría de INTOSAI, titulado </w:t>
      </w:r>
      <w:r w:rsidRPr="009E7948">
        <w:rPr>
          <w:rFonts w:eastAsia="MS Mincho"/>
          <w:b/>
          <w:bCs/>
          <w:noProof/>
          <w:sz w:val="24"/>
          <w:szCs w:val="22"/>
          <w:lang w:val="es-ES_tradnl" w:eastAsia="en-US"/>
        </w:rPr>
        <w:t>Normas para la presntación de informes en auditorías gubernamentales</w:t>
      </w:r>
      <w:r w:rsidRPr="009E7948">
        <w:rPr>
          <w:rFonts w:eastAsia="MS Mincho"/>
          <w:noProof/>
          <w:sz w:val="24"/>
          <w:szCs w:val="22"/>
          <w:lang w:val="es-ES_tradnl" w:eastAsia="en-US"/>
        </w:rPr>
        <w:t xml:space="preserve"> (</w:t>
      </w:r>
      <w:hyperlink r:id="rId32" w:history="1">
        <w:r w:rsidRPr="009E7948">
          <w:rPr>
            <w:rFonts w:eastAsia="MS Mincho"/>
            <w:noProof/>
            <w:color w:val="0563C1"/>
            <w:sz w:val="24"/>
            <w:szCs w:val="22"/>
            <w:u w:val="single"/>
            <w:lang w:val="es-ES_tradnl" w:eastAsia="en-US"/>
          </w:rPr>
          <w:t>INTOSAI</w:t>
        </w:r>
      </w:hyperlink>
      <w:r w:rsidRPr="009E7948">
        <w:rPr>
          <w:rFonts w:eastAsia="MS Mincho"/>
          <w:noProof/>
          <w:sz w:val="24"/>
          <w:szCs w:val="22"/>
          <w:lang w:val="es-ES_tradnl" w:eastAsia="en-US"/>
        </w:rPr>
        <w:t>)</w:t>
      </w:r>
    </w:p>
    <w:p w14:paraId="1BA2FDE7" w14:textId="77777777" w:rsidR="00EA0232" w:rsidRPr="009E7948" w:rsidRDefault="00EA0232" w:rsidP="009E7948">
      <w:pPr>
        <w:tabs>
          <w:tab w:val="left" w:pos="3660"/>
        </w:tabs>
        <w:spacing w:after="120"/>
        <w:ind w:left="284"/>
        <w:jc w:val="both"/>
        <w:rPr>
          <w:rFonts w:eastAsia="MS Mincho"/>
          <w:bCs/>
          <w:noProof/>
          <w:sz w:val="24"/>
          <w:szCs w:val="22"/>
          <w:lang w:val="es-ES_tradnl" w:eastAsia="en-US"/>
        </w:rPr>
      </w:pPr>
      <w:r w:rsidRPr="009E7948">
        <w:rPr>
          <w:rFonts w:eastAsia="MS Mincho"/>
          <w:bCs/>
          <w:noProof/>
          <w:sz w:val="24"/>
          <w:szCs w:val="22"/>
          <w:lang w:val="es-ES_tradnl" w:eastAsia="en-US"/>
        </w:rPr>
        <w:t>El formato típico de una carta de gestión es el siguiente:</w:t>
      </w:r>
    </w:p>
    <w:p w14:paraId="56F33F6A" w14:textId="77777777" w:rsidR="00EA0232" w:rsidRPr="00D16DDF" w:rsidRDefault="00EA0232" w:rsidP="00EA0232">
      <w:pPr>
        <w:tabs>
          <w:tab w:val="left" w:pos="3660"/>
        </w:tabs>
        <w:ind w:left="284"/>
        <w:jc w:val="both"/>
        <w:rPr>
          <w:rFonts w:eastAsia="MS Mincho"/>
          <w:bCs/>
          <w:noProof/>
          <w:szCs w:val="22"/>
          <w:lang w:val="es-MX" w:eastAsia="en-US"/>
        </w:rPr>
      </w:pPr>
      <w:r w:rsidRPr="00D16DDF">
        <w:rPr>
          <w:rFonts w:eastAsia="MS Mincho"/>
          <w:bCs/>
          <w:noProof/>
          <w:szCs w:val="22"/>
          <w:lang w:val="es-MX" w:eastAsia="en-US"/>
        </w:rPr>
        <w:t>_______________________________________________________</w:t>
      </w:r>
    </w:p>
    <w:p w14:paraId="4CD49DB3" w14:textId="77777777" w:rsidR="00EA0232" w:rsidRPr="009E7948" w:rsidRDefault="00EA0232" w:rsidP="009E7948">
      <w:pPr>
        <w:tabs>
          <w:tab w:val="left" w:pos="3660"/>
        </w:tabs>
        <w:spacing w:after="120"/>
        <w:ind w:left="284"/>
        <w:jc w:val="both"/>
        <w:rPr>
          <w:rFonts w:eastAsia="MS Mincho"/>
          <w:b/>
          <w:bCs/>
          <w:noProof/>
          <w:sz w:val="24"/>
          <w:lang w:val="es-MX" w:eastAsia="en-US"/>
        </w:rPr>
      </w:pPr>
    </w:p>
    <w:p w14:paraId="13B2ADDA" w14:textId="77777777" w:rsidR="00EA0232" w:rsidRPr="009E7948" w:rsidRDefault="00EA0232" w:rsidP="009E7948">
      <w:pPr>
        <w:tabs>
          <w:tab w:val="left" w:pos="3660"/>
        </w:tabs>
        <w:spacing w:after="120"/>
        <w:ind w:left="284"/>
        <w:jc w:val="both"/>
        <w:rPr>
          <w:rFonts w:eastAsia="MS Mincho"/>
          <w:b/>
          <w:bCs/>
          <w:noProof/>
          <w:sz w:val="24"/>
          <w:lang w:val="es-MX" w:eastAsia="en-US"/>
        </w:rPr>
      </w:pPr>
      <w:r w:rsidRPr="009E7948">
        <w:rPr>
          <w:rFonts w:eastAsia="MS Mincho"/>
          <w:b/>
          <w:bCs/>
          <w:noProof/>
          <w:sz w:val="24"/>
          <w:lang w:val="es-MX" w:eastAsia="en-US"/>
        </w:rPr>
        <w:t>ESTRICTAMENTE PRIVADO Y CONFIDENCIAL</w:t>
      </w:r>
    </w:p>
    <w:p w14:paraId="48C44528" w14:textId="77777777" w:rsidR="00EA0232" w:rsidRPr="009E7948" w:rsidRDefault="00EA0232" w:rsidP="009E7948">
      <w:pPr>
        <w:tabs>
          <w:tab w:val="left" w:pos="3660"/>
        </w:tabs>
        <w:spacing w:after="120"/>
        <w:ind w:left="284"/>
        <w:jc w:val="both"/>
        <w:rPr>
          <w:rFonts w:eastAsia="MS Mincho"/>
          <w:i/>
          <w:iCs/>
          <w:noProof/>
          <w:sz w:val="24"/>
          <w:lang w:val="es-ES_tradnl" w:eastAsia="en-US"/>
        </w:rPr>
      </w:pPr>
      <w:r w:rsidRPr="009E7948">
        <w:rPr>
          <w:rFonts w:eastAsia="MS Mincho"/>
          <w:bCs/>
          <w:noProof/>
          <w:sz w:val="24"/>
          <w:lang w:val="es-ES_tradnl" w:eastAsia="en-US"/>
        </w:rPr>
        <w:t>[</w:t>
      </w:r>
      <w:r w:rsidRPr="009E7948">
        <w:rPr>
          <w:rFonts w:eastAsia="Calibri"/>
          <w:i/>
          <w:sz w:val="24"/>
          <w:lang w:val="es-ES_tradnl" w:eastAsia="en-US"/>
        </w:rPr>
        <w:t>En la portada de la carta de gestión debe señalarse claramente que se trata de un documento confidencial y debe tratarse como tal</w:t>
      </w:r>
      <w:r w:rsidRPr="009E7948">
        <w:rPr>
          <w:rFonts w:eastAsia="MS Mincho"/>
          <w:i/>
          <w:iCs/>
          <w:noProof/>
          <w:sz w:val="24"/>
          <w:lang w:val="es-ES_tradnl" w:eastAsia="en-US"/>
        </w:rPr>
        <w:t>, de acuerdo con la política del Fondo Mundial]</w:t>
      </w:r>
    </w:p>
    <w:p w14:paraId="2C9DFBE1" w14:textId="77777777" w:rsidR="00EA0232" w:rsidRPr="009E7948" w:rsidRDefault="00EA0232" w:rsidP="009E7948">
      <w:pPr>
        <w:tabs>
          <w:tab w:val="left" w:pos="3660"/>
        </w:tabs>
        <w:spacing w:after="120"/>
        <w:ind w:left="284"/>
        <w:jc w:val="both"/>
        <w:rPr>
          <w:rFonts w:eastAsia="MS Mincho"/>
          <w:noProof/>
          <w:sz w:val="24"/>
          <w:lang w:val="es-ES_tradnl" w:eastAsia="en-US"/>
        </w:rPr>
      </w:pPr>
      <w:r w:rsidRPr="009E7948">
        <w:rPr>
          <w:rFonts w:eastAsia="MS Mincho"/>
          <w:noProof/>
          <w:sz w:val="24"/>
          <w:lang w:val="es-ES_tradnl" w:eastAsia="en-US"/>
        </w:rPr>
        <w:t>[La carta de gestión debe especificar que el auditor reconoce y acepta que la carta de gestión se compartirá con el Fondo Mundial de forma confidencial.  Sin embargo, el destinatario de la carta es el Receptor Pincipal/Subreceptor]</w:t>
      </w:r>
    </w:p>
    <w:p w14:paraId="43D4B33D" w14:textId="77777777" w:rsidR="00EA0232" w:rsidRPr="009E7948" w:rsidRDefault="00EA0232" w:rsidP="009E7948">
      <w:pPr>
        <w:tabs>
          <w:tab w:val="left" w:pos="3660"/>
        </w:tabs>
        <w:spacing w:after="120"/>
        <w:ind w:left="284"/>
        <w:jc w:val="both"/>
        <w:rPr>
          <w:rFonts w:eastAsia="MS Mincho"/>
          <w:noProof/>
          <w:sz w:val="24"/>
          <w:lang w:val="es-ES_tradnl" w:eastAsia="en-US"/>
        </w:rPr>
      </w:pPr>
      <w:r w:rsidRPr="009E7948">
        <w:rPr>
          <w:rFonts w:eastAsia="MS Mincho"/>
          <w:b/>
          <w:bCs/>
          <w:noProof/>
          <w:sz w:val="24"/>
          <w:lang w:val="es-ES_tradnl" w:eastAsia="en-US"/>
        </w:rPr>
        <w:t>(</w:t>
      </w:r>
      <w:r w:rsidRPr="009E7948">
        <w:rPr>
          <w:rFonts w:eastAsia="MS Mincho"/>
          <w:b/>
          <w:bCs/>
          <w:i/>
          <w:iCs/>
          <w:noProof/>
          <w:sz w:val="24"/>
          <w:lang w:val="es-ES_tradnl" w:eastAsia="en-US"/>
        </w:rPr>
        <w:t xml:space="preserve">Nombre del Receptor Principal) </w:t>
      </w:r>
      <w:r w:rsidRPr="009E7948">
        <w:rPr>
          <w:rFonts w:eastAsia="MS Mincho"/>
          <w:b/>
          <w:bCs/>
          <w:noProof/>
          <w:sz w:val="24"/>
          <w:lang w:val="es-ES_tradnl" w:eastAsia="en-US"/>
        </w:rPr>
        <w:t>– CARTA DE GESTIÓN PARA LA AUDITORÍA DE LOS ESTADOS FINANCIEROS PARA EL AÑO FINALIZADO …….. (</w:t>
      </w:r>
      <w:r w:rsidRPr="009E7948">
        <w:rPr>
          <w:rFonts w:eastAsia="MS Mincho"/>
          <w:b/>
          <w:bCs/>
          <w:i/>
          <w:iCs/>
          <w:noProof/>
          <w:sz w:val="24"/>
          <w:lang w:val="es-ES_tradnl" w:eastAsia="en-US"/>
        </w:rPr>
        <w:t>Introducir fecha del año finalizado)</w:t>
      </w:r>
    </w:p>
    <w:p w14:paraId="51ED1675" w14:textId="77777777" w:rsidR="00EA0232" w:rsidRPr="009E7948" w:rsidRDefault="00EA0232" w:rsidP="009E7948">
      <w:pPr>
        <w:tabs>
          <w:tab w:val="left" w:pos="3660"/>
        </w:tabs>
        <w:spacing w:after="120"/>
        <w:ind w:left="284"/>
        <w:jc w:val="both"/>
        <w:rPr>
          <w:rFonts w:eastAsia="MS Mincho"/>
          <w:noProof/>
          <w:sz w:val="24"/>
          <w:lang w:val="es-ES_tradnl" w:eastAsia="en-US"/>
        </w:rPr>
      </w:pPr>
      <w:r w:rsidRPr="009E7948">
        <w:rPr>
          <w:rFonts w:eastAsia="MS Mincho"/>
          <w:noProof/>
          <w:sz w:val="24"/>
          <w:lang w:val="en-US" w:eastAsia="en-US"/>
        </w:rPr>
        <mc:AlternateContent>
          <mc:Choice Requires="wps">
            <w:drawing>
              <wp:anchor distT="0" distB="0" distL="114300" distR="114300" simplePos="0" relativeHeight="251660288" behindDoc="1" locked="0" layoutInCell="0" allowOverlap="1" wp14:anchorId="77BFE964" wp14:editId="1869A4E8">
                <wp:simplePos x="0" y="0"/>
                <wp:positionH relativeFrom="page">
                  <wp:posOffset>1143000</wp:posOffset>
                </wp:positionH>
                <wp:positionV relativeFrom="paragraph">
                  <wp:posOffset>147955</wp:posOffset>
                </wp:positionV>
                <wp:extent cx="46990" cy="0"/>
                <wp:effectExtent l="9525" t="13335" r="10160" b="1524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CB6982" id="Freeform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" o:allowincell="f" filled="f" strokeweight=".33158mm">
                <v:path arrowok="t" o:connecttype="custom" o:connectlocs="0,0;2147483646,0" o:connectangles="0,0"/>
                <w10:wrap anchorx="page"/>
              </v:polyline>
            </w:pict>
          </mc:Fallback>
        </mc:AlternateContent>
      </w:r>
      <w:r w:rsidRPr="009E7948">
        <w:rPr>
          <w:rFonts w:eastAsia="MS Mincho"/>
          <w:noProof/>
          <w:sz w:val="24"/>
          <w:lang w:val="es-ES_tradnl" w:eastAsia="en-US"/>
        </w:rPr>
        <w:t>[</w:t>
      </w:r>
      <w:r w:rsidRPr="009E7948">
        <w:rPr>
          <w:rFonts w:eastAsia="MS Mincho"/>
          <w:iCs/>
          <w:noProof/>
          <w:sz w:val="24"/>
          <w:lang w:val="es-ES_tradnl" w:eastAsia="en-US"/>
        </w:rPr>
        <w:t>Se facilita información general sobre el marco de auditoría aplicable que se empleó en la auditoría de los estados financieros objeto de la presente carta de gestión]</w:t>
      </w:r>
    </w:p>
    <w:p w14:paraId="0F83648B" w14:textId="77777777" w:rsidR="00EA0232" w:rsidRPr="009E7948" w:rsidRDefault="00EA0232" w:rsidP="009E7948">
      <w:pPr>
        <w:tabs>
          <w:tab w:val="left" w:pos="3660"/>
        </w:tabs>
        <w:spacing w:after="120"/>
        <w:jc w:val="both"/>
        <w:rPr>
          <w:rFonts w:eastAsia="MS Mincho"/>
          <w:noProof/>
          <w:sz w:val="24"/>
          <w:lang w:val="es-ES_tradnl" w:eastAsia="en-US"/>
        </w:rPr>
      </w:pPr>
    </w:p>
    <w:p w14:paraId="3EB4DA66" w14:textId="77777777" w:rsidR="00EA0232" w:rsidRPr="009E7948" w:rsidRDefault="00EA0232" w:rsidP="009E7948">
      <w:pPr>
        <w:tabs>
          <w:tab w:val="left" w:pos="3660"/>
        </w:tabs>
        <w:spacing w:after="120"/>
        <w:ind w:left="284"/>
        <w:jc w:val="both"/>
        <w:rPr>
          <w:rFonts w:eastAsia="MS Mincho"/>
          <w:noProof/>
          <w:sz w:val="24"/>
          <w:lang w:val="es-ES_tradnl" w:eastAsia="en-US"/>
        </w:rPr>
      </w:pPr>
      <w:r w:rsidRPr="009E7948">
        <w:rPr>
          <w:rFonts w:eastAsia="MS Mincho"/>
          <w:noProof/>
          <w:sz w:val="24"/>
          <w:lang w:val="es-ES_tradnl" w:eastAsia="en-US"/>
        </w:rPr>
        <w:t>[</w:t>
      </w:r>
      <w:r w:rsidRPr="009E7948">
        <w:rPr>
          <w:rFonts w:eastAsia="MS Mincho"/>
          <w:iCs/>
          <w:noProof/>
          <w:sz w:val="24"/>
          <w:lang w:val="es-ES_tradnl" w:eastAsia="en-US"/>
        </w:rPr>
        <w:t>El objetivo de la auditoría de los estados financieros debe especificarse aquí, que es la expresión de un dictamente sobre los estados financieros. Asimismo, una breve descripción de la metodología empleada en la realización de la auditoría en lo que respecta al uso de pruebas como base para examinar la justificación de los montos y declaraciones contenidos en los estados financieros, entre otros.]</w:t>
      </w:r>
    </w:p>
    <w:p w14:paraId="3B2B53D8" w14:textId="77777777" w:rsidR="00EA0232" w:rsidRPr="009E7948" w:rsidRDefault="00EA0232" w:rsidP="009E7948">
      <w:pPr>
        <w:tabs>
          <w:tab w:val="left" w:pos="3660"/>
        </w:tabs>
        <w:spacing w:after="120"/>
        <w:ind w:left="284"/>
        <w:jc w:val="both"/>
        <w:rPr>
          <w:rFonts w:eastAsia="MS Mincho"/>
          <w:noProof/>
          <w:sz w:val="24"/>
          <w:lang w:val="es-ES_tradnl" w:eastAsia="en-US"/>
        </w:rPr>
      </w:pPr>
      <w:r w:rsidRPr="009E7948">
        <w:rPr>
          <w:rFonts w:eastAsia="MS Mincho"/>
          <w:iCs/>
          <w:noProof/>
          <w:sz w:val="24"/>
          <w:lang w:val="es-ES_tradnl" w:eastAsia="en-US"/>
        </w:rPr>
        <w:t>[Se debe ofrecer una explicación del objetivo de la carta de gestión en lo que concierne al valor añadido en su provisión de gestión para la mejora de los sistemas y procesos para la organización, contriyendo de este modo a la consecusión de objetivos organizativos más amplios.]</w:t>
      </w:r>
    </w:p>
    <w:p w14:paraId="083C68AD" w14:textId="77777777" w:rsidR="00EA0232" w:rsidRPr="009E7948" w:rsidRDefault="00EA0232" w:rsidP="009E7948">
      <w:pPr>
        <w:tabs>
          <w:tab w:val="left" w:pos="3660"/>
        </w:tabs>
        <w:spacing w:after="120"/>
        <w:ind w:left="284"/>
        <w:jc w:val="both"/>
        <w:rPr>
          <w:rFonts w:eastAsia="MS Mincho"/>
          <w:iCs/>
          <w:noProof/>
          <w:sz w:val="24"/>
          <w:lang w:val="es-ES_tradnl" w:eastAsia="en-US"/>
        </w:rPr>
      </w:pPr>
      <w:r w:rsidRPr="009E7948">
        <w:rPr>
          <w:rFonts w:eastAsia="MS Mincho"/>
          <w:iCs/>
          <w:noProof/>
          <w:sz w:val="24"/>
          <w:lang w:val="es-ES_tradnl" w:eastAsia="en-US"/>
        </w:rPr>
        <w:t xml:space="preserve">[Debe facilitarse una descripción del sistema de calificación de los problemas  o conclusiones de la carta de gestión para que el Receptor </w:t>
      </w:r>
      <w:r w:rsidRPr="009E7948">
        <w:rPr>
          <w:rFonts w:eastAsia="Calibri"/>
          <w:sz w:val="24"/>
          <w:lang w:val="es-ES_tradnl" w:eastAsia="en-US"/>
        </w:rPr>
        <w:t xml:space="preserve">Principal </w:t>
      </w:r>
      <w:r w:rsidRPr="009E7948">
        <w:rPr>
          <w:rFonts w:eastAsia="MS Mincho"/>
          <w:iCs/>
          <w:noProof/>
          <w:sz w:val="24"/>
          <w:lang w:val="es-ES_tradnl" w:eastAsia="en-US"/>
        </w:rPr>
        <w:t>pueda priorizar mejor la ejecución de las recomendaciones derivadas de dichas conclusiones. Se recomienda el sistema de calificación siguiente:</w:t>
      </w:r>
    </w:p>
    <w:p w14:paraId="10887B35" w14:textId="77777777" w:rsidR="00EA0232" w:rsidRPr="009E7948" w:rsidRDefault="00EA0232" w:rsidP="009E7948">
      <w:pPr>
        <w:tabs>
          <w:tab w:val="left" w:pos="3660"/>
        </w:tabs>
        <w:spacing w:after="120"/>
        <w:ind w:left="720"/>
        <w:jc w:val="both"/>
        <w:rPr>
          <w:rFonts w:eastAsia="MS Mincho"/>
          <w:iCs/>
          <w:noProof/>
          <w:sz w:val="24"/>
          <w:lang w:val="es-ES_tradnl" w:eastAsia="en-US"/>
        </w:rPr>
      </w:pPr>
      <w:r w:rsidRPr="009E7948">
        <w:rPr>
          <w:rFonts w:eastAsia="MS Mincho"/>
          <w:b/>
          <w:bCs/>
          <w:iCs/>
          <w:noProof/>
          <w:sz w:val="24"/>
          <w:lang w:val="es-ES_tradnl" w:eastAsia="en-US"/>
        </w:rPr>
        <w:t>Las conclusiones de grado I</w:t>
      </w:r>
      <w:r w:rsidRPr="009E7948">
        <w:rPr>
          <w:rFonts w:eastAsia="MS Mincho"/>
          <w:iCs/>
          <w:noProof/>
          <w:sz w:val="24"/>
          <w:lang w:val="es-ES_tradnl" w:eastAsia="en-US"/>
        </w:rPr>
        <w:t xml:space="preserve"> son aquellas especialmente importantes y probablemente se requiera la participación de la dirección para su resolución. Se trata de cuestiones de alto nivel que tienen una gran repercusión en la consecución de los objetivos generalesde la subvención. </w:t>
      </w:r>
    </w:p>
    <w:p w14:paraId="5EEB693C" w14:textId="77777777" w:rsidR="00EA0232" w:rsidRPr="009E7948" w:rsidRDefault="00EA0232" w:rsidP="009E7948">
      <w:pPr>
        <w:tabs>
          <w:tab w:val="left" w:pos="3660"/>
        </w:tabs>
        <w:spacing w:after="120"/>
        <w:ind w:left="720"/>
        <w:jc w:val="both"/>
        <w:rPr>
          <w:rFonts w:eastAsia="MS Mincho"/>
          <w:iCs/>
          <w:noProof/>
          <w:sz w:val="24"/>
          <w:lang w:val="es-ES_tradnl" w:eastAsia="en-US"/>
        </w:rPr>
      </w:pPr>
      <w:r w:rsidRPr="009E7948">
        <w:rPr>
          <w:rFonts w:eastAsia="MS Mincho"/>
          <w:b/>
          <w:bCs/>
          <w:iCs/>
          <w:noProof/>
          <w:sz w:val="24"/>
          <w:lang w:val="es-ES_tradnl" w:eastAsia="en-US"/>
        </w:rPr>
        <w:t xml:space="preserve">Las conclusiones de grado II </w:t>
      </w:r>
      <w:r w:rsidRPr="009E7948">
        <w:rPr>
          <w:rFonts w:eastAsia="MS Mincho"/>
          <w:iCs/>
          <w:noProof/>
          <w:sz w:val="24"/>
          <w:lang w:val="es-ES_tradnl" w:eastAsia="en-US"/>
        </w:rPr>
        <w:t xml:space="preserve">son aquellas que pueden tener una repercusión significativa en el entorno de control. Aquí el entorno de control control se centra en los facores de riesgo derivados de la </w:t>
      </w:r>
      <w:r w:rsidRPr="009E7948">
        <w:rPr>
          <w:rFonts w:eastAsia="MS Mincho"/>
          <w:b/>
          <w:bCs/>
          <w:iCs/>
          <w:noProof/>
          <w:sz w:val="24"/>
          <w:lang w:val="es-ES_tradnl" w:eastAsia="en-US"/>
        </w:rPr>
        <w:t xml:space="preserve">actitud de la dirección ante los riesgos </w:t>
      </w:r>
      <w:r w:rsidRPr="009E7948">
        <w:rPr>
          <w:rFonts w:eastAsia="MS Mincho"/>
          <w:iCs/>
          <w:noProof/>
          <w:sz w:val="24"/>
          <w:lang w:val="es-ES_tradnl" w:eastAsia="en-US"/>
        </w:rPr>
        <w:t xml:space="preserve">respecto de la actividades operativas dentro de la organización el Receptor </w:t>
      </w:r>
      <w:r w:rsidRPr="009E7948">
        <w:rPr>
          <w:rFonts w:eastAsia="Calibri"/>
          <w:sz w:val="24"/>
          <w:lang w:val="es-ES_tradnl" w:eastAsia="en-US"/>
        </w:rPr>
        <w:t xml:space="preserve">Principal </w:t>
      </w:r>
      <w:r w:rsidRPr="009E7948">
        <w:rPr>
          <w:rFonts w:eastAsia="MS Mincho"/>
          <w:iCs/>
          <w:noProof/>
          <w:sz w:val="24"/>
          <w:lang w:val="es-ES_tradnl" w:eastAsia="en-US"/>
        </w:rPr>
        <w:t>/Subreceptor.</w:t>
      </w:r>
    </w:p>
    <w:p w14:paraId="0830F97E" w14:textId="77777777" w:rsidR="00EA0232" w:rsidRPr="009E7948" w:rsidRDefault="00EA0232" w:rsidP="009E7948">
      <w:pPr>
        <w:tabs>
          <w:tab w:val="left" w:pos="3660"/>
        </w:tabs>
        <w:spacing w:after="120"/>
        <w:ind w:left="720"/>
        <w:jc w:val="both"/>
        <w:rPr>
          <w:rFonts w:eastAsia="MS Mincho"/>
          <w:iCs/>
          <w:noProof/>
          <w:sz w:val="24"/>
          <w:lang w:val="es-ES_tradnl" w:eastAsia="en-US"/>
        </w:rPr>
      </w:pPr>
      <w:r w:rsidRPr="009E7948">
        <w:rPr>
          <w:rFonts w:eastAsia="MS Mincho"/>
          <w:b/>
          <w:bCs/>
          <w:iCs/>
          <w:noProof/>
          <w:sz w:val="24"/>
          <w:lang w:val="es-ES_tradnl" w:eastAsia="en-US"/>
        </w:rPr>
        <w:t xml:space="preserve">Las conclusiones de grado III </w:t>
      </w:r>
      <w:r w:rsidRPr="009E7948">
        <w:rPr>
          <w:rFonts w:eastAsia="MS Mincho"/>
          <w:iCs/>
          <w:noProof/>
          <w:sz w:val="24"/>
          <w:lang w:val="es-ES_tradnl" w:eastAsia="en-US"/>
        </w:rPr>
        <w:t xml:space="preserve">son aquellas menos importantes que las de grado I y II pero que, aún así, merecen atención. </w:t>
      </w:r>
    </w:p>
    <w:p w14:paraId="59E01051" w14:textId="77777777" w:rsidR="00EA0232" w:rsidRPr="009E7948" w:rsidRDefault="00EA0232" w:rsidP="009E7948">
      <w:pPr>
        <w:tabs>
          <w:tab w:val="left" w:pos="3660"/>
        </w:tabs>
        <w:spacing w:after="120"/>
        <w:ind w:left="284"/>
        <w:jc w:val="both"/>
        <w:rPr>
          <w:rFonts w:eastAsia="MS Mincho"/>
          <w:iCs/>
          <w:noProof/>
          <w:sz w:val="24"/>
          <w:lang w:val="es-ES_tradnl" w:eastAsia="en-US"/>
        </w:rPr>
      </w:pPr>
      <w:r w:rsidRPr="009E7948">
        <w:rPr>
          <w:rFonts w:eastAsia="MS Mincho"/>
          <w:iCs/>
          <w:noProof/>
          <w:sz w:val="24"/>
          <w:lang w:val="es-ES_tradnl" w:eastAsia="en-US"/>
        </w:rPr>
        <w:t>Para cada conclusión:</w:t>
      </w:r>
    </w:p>
    <w:p w14:paraId="03DEE073" w14:textId="77777777" w:rsidR="00EA0232" w:rsidRPr="009E7948" w:rsidRDefault="00EA0232" w:rsidP="009E7948">
      <w:pPr>
        <w:tabs>
          <w:tab w:val="left" w:pos="3660"/>
        </w:tabs>
        <w:spacing w:after="120"/>
        <w:ind w:left="284"/>
        <w:jc w:val="both"/>
        <w:rPr>
          <w:rFonts w:eastAsia="MS Mincho"/>
          <w:iCs/>
          <w:noProof/>
          <w:sz w:val="24"/>
          <w:lang w:val="es-ES_tradnl" w:eastAsia="en-US"/>
        </w:rPr>
      </w:pPr>
      <w:r w:rsidRPr="009E7948">
        <w:rPr>
          <w:rFonts w:eastAsia="MS Mincho"/>
          <w:b/>
          <w:bCs/>
          <w:iCs/>
          <w:noProof/>
          <w:sz w:val="24"/>
          <w:lang w:val="es-ES_tradnl" w:eastAsia="en-US"/>
        </w:rPr>
        <w:t xml:space="preserve">1.0      </w:t>
      </w:r>
      <w:r w:rsidRPr="009E7948">
        <w:rPr>
          <w:rFonts w:eastAsia="MS Mincho"/>
          <w:iCs/>
          <w:noProof/>
          <w:sz w:val="24"/>
          <w:lang w:val="es-ES_tradnl" w:eastAsia="en-US"/>
        </w:rPr>
        <w:t>[Breve encabezado por conclusión y  grado 1, 2 o 3 según corresponda]</w:t>
      </w:r>
    </w:p>
    <w:p w14:paraId="18555A45" w14:textId="77777777" w:rsidR="00EA0232" w:rsidRPr="009E7948" w:rsidRDefault="00EA0232" w:rsidP="009E7948">
      <w:pPr>
        <w:tabs>
          <w:tab w:val="left" w:pos="3660"/>
        </w:tabs>
        <w:spacing w:after="120"/>
        <w:ind w:left="284"/>
        <w:jc w:val="both"/>
        <w:rPr>
          <w:rFonts w:eastAsia="MS Mincho"/>
          <w:iCs/>
          <w:sz w:val="24"/>
          <w:lang w:val="es-ES_tradnl" w:eastAsia="en-US"/>
        </w:rPr>
      </w:pPr>
      <w:r w:rsidRPr="009E7948">
        <w:rPr>
          <w:rFonts w:eastAsia="MS Mincho"/>
          <w:iCs/>
          <w:noProof/>
          <w:sz w:val="24"/>
          <w:lang w:val="es-ES_tradnl" w:eastAsia="en-US"/>
        </w:rPr>
        <w:t>[Si existe un criterio (o criterios, como puede ser el caso) que sea el objeto del incumplimiento por parte del Receptor Principal/Subreceptor, este debe reflejarse o citarse según corresponda. Un criterio se define como cualquier ley, política, reglamento o marco que una entidad auditada debe cumplir para por poder desarrollar sus actividades. Una desviación o incumplimiento total del mismo provocará  una conclusión. En algunos casos, los criterios no estarán presentes por lo que no será necesario reflejarlos aquí.</w:t>
      </w:r>
      <w:r w:rsidRPr="009E7948">
        <w:rPr>
          <w:rFonts w:eastAsia="MS Mincho"/>
          <w:iCs/>
          <w:sz w:val="24"/>
          <w:lang w:val="es-ES_tradnl" w:eastAsia="en-US"/>
        </w:rPr>
        <w:t>]</w:t>
      </w:r>
    </w:p>
    <w:p w14:paraId="1D74CF47" w14:textId="77777777" w:rsidR="00EA0232" w:rsidRPr="009E7948" w:rsidRDefault="00EA0232" w:rsidP="009E7948">
      <w:pPr>
        <w:numPr>
          <w:ilvl w:val="1"/>
          <w:numId w:val="38"/>
        </w:numPr>
        <w:tabs>
          <w:tab w:val="left" w:pos="3660"/>
        </w:tabs>
        <w:spacing w:after="120"/>
        <w:jc w:val="both"/>
        <w:rPr>
          <w:rFonts w:eastAsia="Calibri"/>
          <w:b/>
          <w:bCs/>
          <w:iCs/>
          <w:noProof/>
          <w:sz w:val="24"/>
          <w:lang w:val="en-US" w:eastAsia="en-US"/>
        </w:rPr>
      </w:pPr>
      <w:r w:rsidRPr="009E7948">
        <w:rPr>
          <w:rFonts w:eastAsia="Calibri"/>
          <w:b/>
          <w:bCs/>
          <w:iCs/>
          <w:noProof/>
          <w:sz w:val="24"/>
          <w:lang w:val="en-US" w:eastAsia="en-US"/>
        </w:rPr>
        <w:t>CONCLUSIÓN</w:t>
      </w:r>
    </w:p>
    <w:p w14:paraId="254091D7" w14:textId="77777777" w:rsidR="00EA0232" w:rsidRPr="009E7948" w:rsidRDefault="00EA0232" w:rsidP="009E7948">
      <w:pPr>
        <w:tabs>
          <w:tab w:val="left" w:pos="3660"/>
        </w:tabs>
        <w:spacing w:after="120"/>
        <w:ind w:left="284"/>
        <w:jc w:val="both"/>
        <w:rPr>
          <w:rFonts w:eastAsia="MS Mincho"/>
          <w:iCs/>
          <w:noProof/>
          <w:sz w:val="24"/>
          <w:lang w:val="es-ES_tradnl" w:eastAsia="en-US"/>
        </w:rPr>
      </w:pPr>
      <w:r w:rsidRPr="009E7948">
        <w:rPr>
          <w:rFonts w:eastAsia="MS Mincho"/>
          <w:iCs/>
          <w:noProof/>
          <w:sz w:val="24"/>
          <w:lang w:val="es-ES_tradnl" w:eastAsia="en-US"/>
        </w:rPr>
        <w:t>[Aquí se describe plenamente la condición o el problema que podría ser el resultado del no cumplimiento de un criterio. Esto debe ser consistente con el nivel de calificación indicado más arriba. Cuando sea posible, se debe indicar la razón/justificación del incumplimiento de los criterios o los factores responsables  del problema planteado, ya sea en un párrafo o sección independientes bajo el encabezado CONCLUSIÓN.</w:t>
      </w:r>
      <w:r w:rsidRPr="009E7948">
        <w:rPr>
          <w:rFonts w:eastAsia="MS Mincho"/>
          <w:iCs/>
          <w:sz w:val="24"/>
          <w:lang w:val="es-ES_tradnl" w:eastAsia="en-US"/>
        </w:rPr>
        <w:t>]</w:t>
      </w:r>
    </w:p>
    <w:p w14:paraId="39279DAD" w14:textId="77777777" w:rsidR="00EA0232" w:rsidRPr="009E7948" w:rsidRDefault="00EA0232" w:rsidP="009E7948">
      <w:pPr>
        <w:numPr>
          <w:ilvl w:val="1"/>
          <w:numId w:val="38"/>
        </w:numPr>
        <w:tabs>
          <w:tab w:val="left" w:pos="3660"/>
        </w:tabs>
        <w:spacing w:after="120"/>
        <w:jc w:val="both"/>
        <w:rPr>
          <w:rFonts w:eastAsia="Calibri"/>
          <w:b/>
          <w:bCs/>
          <w:iCs/>
          <w:noProof/>
          <w:sz w:val="24"/>
          <w:lang w:val="en-US" w:eastAsia="en-US"/>
        </w:rPr>
      </w:pPr>
      <w:r w:rsidRPr="009E7948">
        <w:rPr>
          <w:rFonts w:eastAsia="Calibri"/>
          <w:b/>
          <w:bCs/>
          <w:iCs/>
          <w:noProof/>
          <w:sz w:val="24"/>
          <w:lang w:val="en-US" w:eastAsia="en-US"/>
        </w:rPr>
        <w:t>IMPLICACIÓN</w:t>
      </w:r>
    </w:p>
    <w:p w14:paraId="3FD8D502" w14:textId="77777777" w:rsidR="00EA0232" w:rsidRPr="009E7948" w:rsidRDefault="00EA0232" w:rsidP="009E7948">
      <w:pPr>
        <w:tabs>
          <w:tab w:val="left" w:pos="3660"/>
        </w:tabs>
        <w:spacing w:after="120"/>
        <w:ind w:left="284"/>
        <w:jc w:val="both"/>
        <w:rPr>
          <w:rFonts w:eastAsia="MS Mincho"/>
          <w:iCs/>
          <w:sz w:val="24"/>
          <w:lang w:val="es-ES_tradnl" w:eastAsia="en-US"/>
        </w:rPr>
      </w:pPr>
      <w:r w:rsidRPr="009E7948">
        <w:rPr>
          <w:rFonts w:eastAsia="MS Mincho"/>
          <w:iCs/>
          <w:noProof/>
          <w:sz w:val="24"/>
          <w:lang w:val="es-ES_tradnl" w:eastAsia="en-US"/>
        </w:rPr>
        <w:t xml:space="preserve">[En este apartado se debe indicar claramente el efecto de la conclusión desde una perspectiva financiera como no financiera ya que este enfoque ofrecerá a la entidad  del Receptor </w:t>
      </w:r>
      <w:r w:rsidRPr="009E7948">
        <w:rPr>
          <w:rFonts w:eastAsia="Calibri"/>
          <w:sz w:val="24"/>
          <w:lang w:val="es-ES_tradnl" w:eastAsia="en-US"/>
        </w:rPr>
        <w:t xml:space="preserve">Principal </w:t>
      </w:r>
      <w:r w:rsidRPr="009E7948">
        <w:rPr>
          <w:rFonts w:eastAsia="MS Mincho"/>
          <w:iCs/>
          <w:noProof/>
          <w:sz w:val="24"/>
          <w:lang w:val="es-ES_tradnl" w:eastAsia="en-US"/>
        </w:rPr>
        <w:t>/Subreceptor una mejor comprensión para formular una respuesta de gestión y un plan de acción sólidos para la ejecución de las recomendaciones.</w:t>
      </w:r>
      <w:r w:rsidRPr="009E7948">
        <w:rPr>
          <w:rFonts w:eastAsia="MS Mincho"/>
          <w:iCs/>
          <w:sz w:val="24"/>
          <w:lang w:val="es-ES_tradnl" w:eastAsia="en-US"/>
        </w:rPr>
        <w:t>]</w:t>
      </w:r>
    </w:p>
    <w:p w14:paraId="7C707B6D" w14:textId="77777777" w:rsidR="00EA0232" w:rsidRPr="009E7948" w:rsidRDefault="00EA0232" w:rsidP="009E7948">
      <w:pPr>
        <w:tabs>
          <w:tab w:val="left" w:pos="3660"/>
        </w:tabs>
        <w:spacing w:after="120"/>
        <w:ind w:left="284"/>
        <w:jc w:val="both"/>
        <w:rPr>
          <w:rFonts w:eastAsia="MS Mincho"/>
          <w:iCs/>
          <w:sz w:val="24"/>
          <w:lang w:val="es-ES_tradnl" w:eastAsia="en-US"/>
        </w:rPr>
      </w:pPr>
    </w:p>
    <w:p w14:paraId="023BEC4D" w14:textId="77777777" w:rsidR="00EA0232" w:rsidRPr="009E7948" w:rsidRDefault="00EA0232" w:rsidP="009E7948">
      <w:pPr>
        <w:numPr>
          <w:ilvl w:val="1"/>
          <w:numId w:val="38"/>
        </w:numPr>
        <w:tabs>
          <w:tab w:val="left" w:pos="3660"/>
        </w:tabs>
        <w:spacing w:after="120"/>
        <w:jc w:val="both"/>
        <w:rPr>
          <w:rFonts w:eastAsia="Calibri"/>
          <w:b/>
          <w:bCs/>
          <w:iCs/>
          <w:noProof/>
          <w:sz w:val="24"/>
          <w:lang w:val="en-US" w:eastAsia="en-US"/>
        </w:rPr>
      </w:pPr>
      <w:r w:rsidRPr="009E7948">
        <w:rPr>
          <w:rFonts w:eastAsia="Calibri"/>
          <w:b/>
          <w:bCs/>
          <w:iCs/>
          <w:noProof/>
          <w:sz w:val="24"/>
          <w:lang w:val="en-US" w:eastAsia="en-US"/>
        </w:rPr>
        <w:t>RECOMENDACIÓN</w:t>
      </w:r>
    </w:p>
    <w:p w14:paraId="4FE5086F" w14:textId="77777777" w:rsidR="00EA0232" w:rsidRPr="009E7948" w:rsidRDefault="00EA0232" w:rsidP="009E7948">
      <w:pPr>
        <w:tabs>
          <w:tab w:val="left" w:pos="3660"/>
        </w:tabs>
        <w:spacing w:after="120"/>
        <w:ind w:left="284"/>
        <w:jc w:val="both"/>
        <w:rPr>
          <w:rFonts w:eastAsia="MS Mincho"/>
          <w:iCs/>
          <w:sz w:val="24"/>
          <w:lang w:val="es-ES_tradnl" w:eastAsia="en-US"/>
        </w:rPr>
      </w:pPr>
      <w:r w:rsidRPr="009E7948">
        <w:rPr>
          <w:rFonts w:eastAsia="MS Mincho"/>
          <w:iCs/>
          <w:noProof/>
          <w:sz w:val="24"/>
          <w:lang w:val="es-ES_tradnl" w:eastAsia="en-US"/>
        </w:rPr>
        <w:t xml:space="preserve">[Las recomendaciones prácticas pertinentes a las conclusiones descritas en el punto 1.1 más arriba deben incluirse en esta categoría. Las recomendaciones deben tener la capacidad de eliminar o reducir los efectos identificados en el punto 1.2 más arriba (hasta un nivel aceptable) de forma que no tengan una repercusión sustancial negativa en la ejecución de la subvención tras su inicio por parte de la gestión del </w:t>
      </w:r>
      <w:r w:rsidR="00E661DF" w:rsidRPr="009E7948">
        <w:rPr>
          <w:rFonts w:eastAsia="MS Mincho"/>
          <w:iCs/>
          <w:noProof/>
          <w:sz w:val="24"/>
          <w:lang w:val="es-ES_tradnl" w:eastAsia="en-US"/>
        </w:rPr>
        <w:t>Receptor Principal</w:t>
      </w:r>
      <w:r w:rsidRPr="009E7948">
        <w:rPr>
          <w:rFonts w:eastAsia="Calibri"/>
          <w:sz w:val="24"/>
          <w:lang w:val="es-ES_tradnl" w:eastAsia="en-US"/>
        </w:rPr>
        <w:t xml:space="preserve"> </w:t>
      </w:r>
      <w:r w:rsidRPr="009E7948">
        <w:rPr>
          <w:rFonts w:eastAsia="MS Mincho"/>
          <w:iCs/>
          <w:noProof/>
          <w:sz w:val="24"/>
          <w:lang w:val="es-ES_tradnl" w:eastAsia="en-US"/>
        </w:rPr>
        <w:t>/Subreceptor.</w:t>
      </w:r>
      <w:r w:rsidRPr="009E7948">
        <w:rPr>
          <w:rFonts w:eastAsia="MS Mincho"/>
          <w:iCs/>
          <w:sz w:val="24"/>
          <w:lang w:val="es-ES_tradnl" w:eastAsia="en-US"/>
        </w:rPr>
        <w:t>]</w:t>
      </w:r>
    </w:p>
    <w:p w14:paraId="20816897" w14:textId="77777777" w:rsidR="00EA0232" w:rsidRPr="009E7948" w:rsidRDefault="00EA0232" w:rsidP="009E7948">
      <w:pPr>
        <w:numPr>
          <w:ilvl w:val="1"/>
          <w:numId w:val="38"/>
        </w:numPr>
        <w:tabs>
          <w:tab w:val="left" w:pos="3660"/>
        </w:tabs>
        <w:spacing w:after="120"/>
        <w:jc w:val="both"/>
        <w:rPr>
          <w:rFonts w:eastAsia="Calibri"/>
          <w:b/>
          <w:bCs/>
          <w:iCs/>
          <w:noProof/>
          <w:sz w:val="24"/>
          <w:lang w:val="en-US" w:eastAsia="en-US"/>
        </w:rPr>
      </w:pPr>
      <w:r w:rsidRPr="009E7948">
        <w:rPr>
          <w:rFonts w:eastAsia="Calibri"/>
          <w:b/>
          <w:bCs/>
          <w:iCs/>
          <w:noProof/>
          <w:sz w:val="24"/>
          <w:lang w:val="en-US" w:eastAsia="en-US"/>
        </w:rPr>
        <w:t>BENEFICIOS</w:t>
      </w:r>
    </w:p>
    <w:p w14:paraId="1F96204E" w14:textId="77777777" w:rsidR="00EA0232" w:rsidRPr="009E7948" w:rsidRDefault="00EA0232" w:rsidP="009E7948">
      <w:pPr>
        <w:tabs>
          <w:tab w:val="left" w:pos="3660"/>
        </w:tabs>
        <w:spacing w:after="120"/>
        <w:ind w:left="284"/>
        <w:jc w:val="both"/>
        <w:rPr>
          <w:rFonts w:eastAsia="MS Mincho"/>
          <w:iCs/>
          <w:sz w:val="24"/>
          <w:lang w:val="es-ES_tradnl" w:eastAsia="en-US"/>
        </w:rPr>
      </w:pPr>
      <w:r w:rsidRPr="009E7948">
        <w:rPr>
          <w:rFonts w:eastAsia="MS Mincho"/>
          <w:iCs/>
          <w:noProof/>
          <w:sz w:val="24"/>
          <w:lang w:val="es-ES_tradnl" w:eastAsia="en-US"/>
        </w:rPr>
        <w:t xml:space="preserve">[En este apartado deben destacarse los beneficios de ejecutar las recomendaciones descritas en el punto 1.3 más arriba desde una perspectiva financiera y no financiera. El empleo de datos financieros en términos de, por ejemplo, ahorro de costos, debe indicarse también aquí. </w:t>
      </w:r>
    </w:p>
    <w:p w14:paraId="5D6213B2" w14:textId="77777777" w:rsidR="00EA0232" w:rsidRPr="009E7948" w:rsidRDefault="00EA0232" w:rsidP="009E7948">
      <w:pPr>
        <w:numPr>
          <w:ilvl w:val="1"/>
          <w:numId w:val="38"/>
        </w:numPr>
        <w:tabs>
          <w:tab w:val="left" w:pos="3660"/>
        </w:tabs>
        <w:spacing w:after="120"/>
        <w:jc w:val="both"/>
        <w:rPr>
          <w:rFonts w:eastAsia="Calibri"/>
          <w:b/>
          <w:bCs/>
          <w:iCs/>
          <w:noProof/>
          <w:sz w:val="24"/>
          <w:lang w:val="en-US" w:eastAsia="en-US"/>
        </w:rPr>
      </w:pPr>
      <w:r w:rsidRPr="009E7948">
        <w:rPr>
          <w:rFonts w:eastAsia="Calibri"/>
          <w:b/>
          <w:bCs/>
          <w:iCs/>
          <w:noProof/>
          <w:sz w:val="24"/>
          <w:lang w:val="en-US" w:eastAsia="en-US"/>
        </w:rPr>
        <w:t xml:space="preserve">RESPUESTA DE GESTIÓN </w:t>
      </w:r>
    </w:p>
    <w:p w14:paraId="169A78D2" w14:textId="77777777" w:rsidR="00EA0232" w:rsidRPr="009E7948" w:rsidRDefault="00EA0232" w:rsidP="009E7948">
      <w:pPr>
        <w:tabs>
          <w:tab w:val="left" w:pos="3660"/>
        </w:tabs>
        <w:spacing w:after="120"/>
        <w:ind w:left="284"/>
        <w:jc w:val="both"/>
        <w:rPr>
          <w:rFonts w:eastAsia="MS Mincho"/>
          <w:iCs/>
          <w:noProof/>
          <w:sz w:val="24"/>
          <w:lang w:val="es-ES_tradnl" w:eastAsia="en-US"/>
        </w:rPr>
      </w:pPr>
      <w:r w:rsidRPr="009E7948">
        <w:rPr>
          <w:rFonts w:eastAsia="MS Mincho"/>
          <w:iCs/>
          <w:noProof/>
          <w:sz w:val="24"/>
          <w:lang w:val="es-ES_tradnl" w:eastAsia="en-US"/>
        </w:rPr>
        <w:t>[Se requiere a los receptores principales/subreptores que indiquen hasta qué punto están de acuerdo con o discrepan de la conclusión indicada previamente. También deben indicar si están de acuerdo con o discrepan del resto de los elementos incluidos en la carta de gestión (es decir, 1.2 a 1.4) esgrimiendo las razones de su acuerdo o discrepancia.</w:t>
      </w:r>
    </w:p>
    <w:p w14:paraId="3F19CC02" w14:textId="77777777" w:rsidR="00EA0232" w:rsidRPr="009E7948" w:rsidRDefault="00EA0232" w:rsidP="009E7948">
      <w:pPr>
        <w:tabs>
          <w:tab w:val="left" w:pos="3660"/>
        </w:tabs>
        <w:spacing w:after="120"/>
        <w:ind w:left="284"/>
        <w:jc w:val="both"/>
        <w:rPr>
          <w:rFonts w:eastAsia="MS Mincho"/>
          <w:iCs/>
          <w:noProof/>
          <w:sz w:val="24"/>
          <w:lang w:val="es-ES_tradnl" w:eastAsia="en-US"/>
        </w:rPr>
      </w:pPr>
      <w:r w:rsidRPr="009E7948">
        <w:rPr>
          <w:rFonts w:eastAsia="MS Mincho"/>
          <w:iCs/>
          <w:noProof/>
          <w:sz w:val="24"/>
          <w:lang w:val="es-ES_tradnl" w:eastAsia="en-US"/>
        </w:rPr>
        <w:t>Como parte de la respuesta de gestión, el Receptor Principal debe elaborar un plan de acción con el propósito de abordar cualesquiera recomendaciones pertinentes derivadas de las auditorías del Receptor Principal y el Subreceptor.</w:t>
      </w:r>
    </w:p>
    <w:p w14:paraId="5BB439A6" w14:textId="77777777" w:rsidR="00EA0232" w:rsidRPr="009E7948" w:rsidRDefault="00EA0232" w:rsidP="009E7948">
      <w:pPr>
        <w:tabs>
          <w:tab w:val="left" w:pos="3660"/>
        </w:tabs>
        <w:spacing w:after="120"/>
        <w:ind w:left="284"/>
        <w:jc w:val="both"/>
        <w:rPr>
          <w:rFonts w:eastAsia="MS Mincho"/>
          <w:iCs/>
          <w:noProof/>
          <w:sz w:val="24"/>
          <w:lang w:val="es-NI" w:eastAsia="en-US"/>
        </w:rPr>
      </w:pPr>
      <w:r w:rsidRPr="009E7948">
        <w:rPr>
          <w:rFonts w:eastAsia="MS Mincho"/>
          <w:iCs/>
          <w:noProof/>
          <w:sz w:val="24"/>
          <w:lang w:val="es-ES_tradnl" w:eastAsia="en-US"/>
        </w:rPr>
        <w:t>Port último, todas las cartas de gestión deben incluir una sección de “</w:t>
      </w:r>
      <w:r w:rsidRPr="009E7948">
        <w:rPr>
          <w:rFonts w:eastAsia="MS Mincho"/>
          <w:b/>
          <w:bCs/>
          <w:iCs/>
          <w:noProof/>
          <w:sz w:val="24"/>
          <w:lang w:val="es-ES_tradnl" w:eastAsia="en-US"/>
        </w:rPr>
        <w:t xml:space="preserve">Problemas identificados en auditorías previas” </w:t>
      </w:r>
      <w:r w:rsidRPr="009E7948">
        <w:rPr>
          <w:rFonts w:eastAsia="MS Mincho"/>
          <w:iCs/>
          <w:noProof/>
          <w:sz w:val="24"/>
          <w:lang w:val="es-ES_tradnl" w:eastAsia="en-US"/>
        </w:rPr>
        <w:t xml:space="preserve">en forma de tabla que servirá como herramienta de seguimiento para determinar el estado de ejecución de las recomendaciones.]. </w:t>
      </w:r>
      <w:r w:rsidRPr="009E7948">
        <w:rPr>
          <w:rFonts w:eastAsia="MS Mincho"/>
          <w:iCs/>
          <w:noProof/>
          <w:sz w:val="24"/>
          <w:lang w:val="es-NI" w:eastAsia="en-US"/>
        </w:rPr>
        <w:t>Véase a continuación:</w:t>
      </w:r>
    </w:p>
    <w:p w14:paraId="2C1475BD" w14:textId="77777777" w:rsidR="00EA0232" w:rsidRPr="009E7948" w:rsidRDefault="00EA0232" w:rsidP="009E7948">
      <w:pPr>
        <w:tabs>
          <w:tab w:val="left" w:pos="3660"/>
        </w:tabs>
        <w:spacing w:after="120"/>
        <w:ind w:left="284"/>
        <w:jc w:val="both"/>
        <w:rPr>
          <w:rFonts w:eastAsia="MS Mincho"/>
          <w:noProof/>
          <w:sz w:val="24"/>
          <w:lang w:val="es-ES" w:eastAsia="en-US"/>
        </w:rPr>
      </w:pPr>
    </w:p>
    <w:p w14:paraId="27F5A4BC" w14:textId="77777777" w:rsidR="00EA0232" w:rsidRPr="009E7948" w:rsidRDefault="00EA0232" w:rsidP="009E7948">
      <w:pPr>
        <w:tabs>
          <w:tab w:val="left" w:pos="3660"/>
        </w:tabs>
        <w:spacing w:after="120"/>
        <w:ind w:left="284"/>
        <w:jc w:val="both"/>
        <w:rPr>
          <w:rFonts w:eastAsia="MS Mincho"/>
          <w:noProof/>
          <w:sz w:val="24"/>
          <w:lang w:val="es-ES" w:eastAsia="en-US"/>
        </w:rPr>
      </w:pPr>
    </w:p>
    <w:p w14:paraId="15BD884E" w14:textId="77777777" w:rsidR="002E6843" w:rsidRDefault="002E6843" w:rsidP="00485CE3">
      <w:pPr>
        <w:tabs>
          <w:tab w:val="left" w:pos="3660"/>
        </w:tabs>
        <w:ind w:left="284"/>
        <w:jc w:val="both"/>
        <w:rPr>
          <w:rFonts w:eastAsia="MS Mincho"/>
          <w:noProof/>
          <w:szCs w:val="22"/>
          <w:lang w:val="es-ES" w:eastAsia="en-US"/>
        </w:rPr>
        <w:sectPr w:rsidR="002E6843" w:rsidSect="00C165E6">
          <w:pgSz w:w="11900" w:h="16840"/>
          <w:pgMar w:top="1134" w:right="1127" w:bottom="2410" w:left="1134" w:header="851" w:footer="851" w:gutter="0"/>
          <w:pgNumType w:start="1"/>
          <w:cols w:space="720"/>
          <w:docGrid w:linePitch="360"/>
        </w:sectPr>
      </w:pPr>
    </w:p>
    <w:p w14:paraId="2322E12B" w14:textId="77777777" w:rsidR="00EA0232" w:rsidRPr="002E6843" w:rsidRDefault="00EA0232" w:rsidP="00EA0232">
      <w:pPr>
        <w:tabs>
          <w:tab w:val="left" w:pos="3660"/>
        </w:tabs>
        <w:jc w:val="both"/>
        <w:rPr>
          <w:rFonts w:eastAsia="MS Mincho"/>
          <w:b/>
          <w:bCs/>
          <w:noProof/>
          <w:szCs w:val="22"/>
          <w:lang w:val="es-419" w:eastAsia="en-US"/>
        </w:rPr>
      </w:pPr>
      <w:r w:rsidRPr="002E6843">
        <w:rPr>
          <w:rFonts w:eastAsia="MS Mincho"/>
          <w:b/>
          <w:bCs/>
          <w:noProof/>
          <w:szCs w:val="22"/>
          <w:lang w:val="es-419" w:eastAsia="en-US"/>
        </w:rPr>
        <w:t>PROBLEMAS IDENTIFICADOS EN AUDITORÍAS PREVIAS</w:t>
      </w:r>
    </w:p>
    <w:p w14:paraId="0C24F761" w14:textId="77777777" w:rsidR="00EA0232" w:rsidRPr="002E6843" w:rsidRDefault="00EA0232" w:rsidP="00EA0232">
      <w:pPr>
        <w:tabs>
          <w:tab w:val="left" w:pos="3660"/>
        </w:tabs>
        <w:jc w:val="both"/>
        <w:rPr>
          <w:rFonts w:eastAsia="MS Mincho"/>
          <w:noProof/>
          <w:szCs w:val="22"/>
          <w:lang w:val="es-419" w:eastAsia="en-US"/>
        </w:rPr>
      </w:pPr>
    </w:p>
    <w:tbl>
      <w:tblPr>
        <w:tblW w:w="14617" w:type="dxa"/>
        <w:jc w:val="center"/>
        <w:tblLayout w:type="fixed"/>
        <w:tblCellMar>
          <w:left w:w="0" w:type="dxa"/>
          <w:right w:w="0" w:type="dxa"/>
        </w:tblCellMar>
        <w:tblLook w:val="0000" w:firstRow="0" w:lastRow="0" w:firstColumn="0" w:lastColumn="0" w:noHBand="0" w:noVBand="0"/>
      </w:tblPr>
      <w:tblGrid>
        <w:gridCol w:w="2142"/>
        <w:gridCol w:w="2562"/>
        <w:gridCol w:w="2547"/>
        <w:gridCol w:w="4360"/>
        <w:gridCol w:w="3006"/>
      </w:tblGrid>
      <w:tr w:rsidR="00EA0232" w:rsidRPr="00D16DDF" w14:paraId="13769B4A" w14:textId="77777777" w:rsidTr="00296F5D">
        <w:trPr>
          <w:trHeight w:hRule="exact" w:val="852"/>
          <w:jc w:val="center"/>
        </w:trPr>
        <w:tc>
          <w:tcPr>
            <w:tcW w:w="2142" w:type="dxa"/>
            <w:tcBorders>
              <w:top w:val="single" w:sz="4" w:space="0" w:color="000000"/>
              <w:left w:val="single" w:sz="4" w:space="0" w:color="000000"/>
              <w:bottom w:val="single" w:sz="4" w:space="0" w:color="000000"/>
              <w:right w:val="single" w:sz="4" w:space="0" w:color="000000"/>
            </w:tcBorders>
          </w:tcPr>
          <w:p w14:paraId="01330608" w14:textId="77777777" w:rsidR="00EA0232" w:rsidRPr="002E6843" w:rsidRDefault="00EA0232" w:rsidP="00EA0232">
            <w:pPr>
              <w:tabs>
                <w:tab w:val="left" w:pos="3660"/>
              </w:tabs>
              <w:ind w:left="284"/>
              <w:jc w:val="center"/>
              <w:rPr>
                <w:rFonts w:eastAsia="MS Mincho"/>
                <w:noProof/>
                <w:szCs w:val="22"/>
                <w:lang w:val="es-419" w:eastAsia="en-US"/>
              </w:rPr>
            </w:pPr>
            <w:r w:rsidRPr="002E6843">
              <w:rPr>
                <w:rFonts w:eastAsia="MS Mincho"/>
                <w:b/>
                <w:bCs/>
                <w:noProof/>
                <w:szCs w:val="22"/>
                <w:lang w:val="es-419" w:eastAsia="en-US"/>
              </w:rPr>
              <w:t xml:space="preserve">Período cubierto por la auditoría </w:t>
            </w:r>
          </w:p>
          <w:p w14:paraId="1D7B0074" w14:textId="77777777" w:rsidR="00EA0232" w:rsidRPr="002E6843" w:rsidRDefault="00EA0232" w:rsidP="00EA0232">
            <w:pPr>
              <w:tabs>
                <w:tab w:val="left" w:pos="3660"/>
              </w:tabs>
              <w:ind w:left="284"/>
              <w:jc w:val="center"/>
              <w:rPr>
                <w:rFonts w:eastAsia="MS Mincho"/>
                <w:noProof/>
                <w:szCs w:val="22"/>
                <w:lang w:val="es-419" w:eastAsia="en-US"/>
              </w:rPr>
            </w:pPr>
          </w:p>
        </w:tc>
        <w:tc>
          <w:tcPr>
            <w:tcW w:w="2562" w:type="dxa"/>
            <w:tcBorders>
              <w:top w:val="single" w:sz="4" w:space="0" w:color="000000"/>
              <w:left w:val="single" w:sz="4" w:space="0" w:color="000000"/>
              <w:bottom w:val="single" w:sz="4" w:space="0" w:color="000000"/>
              <w:right w:val="single" w:sz="4" w:space="0" w:color="000000"/>
            </w:tcBorders>
          </w:tcPr>
          <w:p w14:paraId="12CD27AE" w14:textId="77777777" w:rsidR="00EA0232" w:rsidRPr="00D16DDF" w:rsidRDefault="00EA0232" w:rsidP="00EA0232">
            <w:pPr>
              <w:tabs>
                <w:tab w:val="left" w:pos="3660"/>
              </w:tabs>
              <w:ind w:left="284"/>
              <w:rPr>
                <w:rFonts w:eastAsia="MS Mincho"/>
                <w:noProof/>
                <w:szCs w:val="22"/>
                <w:lang w:val="es-ES_tradnl" w:eastAsia="en-US"/>
              </w:rPr>
            </w:pPr>
            <w:r w:rsidRPr="00D16DDF">
              <w:rPr>
                <w:rFonts w:eastAsia="MS Mincho"/>
                <w:b/>
                <w:bCs/>
                <w:noProof/>
                <w:szCs w:val="22"/>
                <w:lang w:val="es-ES_tradnl" w:eastAsia="en-US"/>
              </w:rPr>
              <w:t xml:space="preserve">Problema (es decir, la conclusión identificada) </w:t>
            </w:r>
          </w:p>
          <w:p w14:paraId="6377EC67" w14:textId="77777777" w:rsidR="00EA0232" w:rsidRPr="00D16DDF" w:rsidRDefault="00EA0232" w:rsidP="00EA0232">
            <w:pPr>
              <w:tabs>
                <w:tab w:val="left" w:pos="3660"/>
              </w:tabs>
              <w:ind w:left="284"/>
              <w:jc w:val="center"/>
              <w:rPr>
                <w:rFonts w:eastAsia="MS Mincho"/>
                <w:noProof/>
                <w:szCs w:val="22"/>
                <w:lang w:val="es-ES_tradnl" w:eastAsia="en-US"/>
              </w:rPr>
            </w:pPr>
          </w:p>
        </w:tc>
        <w:tc>
          <w:tcPr>
            <w:tcW w:w="2547" w:type="dxa"/>
            <w:tcBorders>
              <w:top w:val="single" w:sz="4" w:space="0" w:color="000000"/>
              <w:left w:val="single" w:sz="4" w:space="0" w:color="000000"/>
              <w:bottom w:val="single" w:sz="4" w:space="0" w:color="000000"/>
              <w:right w:val="single" w:sz="4" w:space="0" w:color="000000"/>
            </w:tcBorders>
          </w:tcPr>
          <w:p w14:paraId="0AB517BB" w14:textId="77777777" w:rsidR="00E661DF" w:rsidRPr="00D903B1" w:rsidRDefault="00E661DF" w:rsidP="00EA0232">
            <w:pPr>
              <w:tabs>
                <w:tab w:val="left" w:pos="3660"/>
              </w:tabs>
              <w:ind w:left="284"/>
              <w:jc w:val="center"/>
              <w:rPr>
                <w:rFonts w:eastAsia="MS Mincho"/>
                <w:b/>
                <w:bCs/>
                <w:noProof/>
                <w:szCs w:val="22"/>
                <w:lang w:val="es-419" w:eastAsia="en-US"/>
              </w:rPr>
            </w:pPr>
          </w:p>
          <w:p w14:paraId="605C16BB" w14:textId="77777777" w:rsidR="00EA0232" w:rsidRPr="00D16DDF" w:rsidRDefault="00EA0232" w:rsidP="00EA0232">
            <w:pPr>
              <w:tabs>
                <w:tab w:val="left" w:pos="3660"/>
              </w:tabs>
              <w:ind w:left="284"/>
              <w:jc w:val="center"/>
              <w:rPr>
                <w:rFonts w:eastAsia="MS Mincho"/>
                <w:noProof/>
                <w:szCs w:val="22"/>
                <w:lang w:val="en-US" w:eastAsia="en-US"/>
              </w:rPr>
            </w:pPr>
            <w:r w:rsidRPr="00D16DDF">
              <w:rPr>
                <w:rFonts w:eastAsia="MS Mincho"/>
                <w:b/>
                <w:bCs/>
                <w:noProof/>
                <w:szCs w:val="22"/>
                <w:lang w:val="en-US" w:eastAsia="en-US"/>
              </w:rPr>
              <w:t>Recomendaciones</w:t>
            </w:r>
          </w:p>
        </w:tc>
        <w:tc>
          <w:tcPr>
            <w:tcW w:w="4360" w:type="dxa"/>
            <w:tcBorders>
              <w:top w:val="single" w:sz="4" w:space="0" w:color="000000"/>
              <w:left w:val="single" w:sz="4" w:space="0" w:color="000000"/>
              <w:bottom w:val="single" w:sz="4" w:space="0" w:color="000000"/>
              <w:right w:val="single" w:sz="4" w:space="0" w:color="000000"/>
            </w:tcBorders>
          </w:tcPr>
          <w:p w14:paraId="47E0EDCF" w14:textId="77777777" w:rsidR="00E661DF" w:rsidRDefault="00E661DF" w:rsidP="00EA0232">
            <w:pPr>
              <w:tabs>
                <w:tab w:val="left" w:pos="3660"/>
              </w:tabs>
              <w:ind w:left="284"/>
              <w:jc w:val="center"/>
              <w:rPr>
                <w:rFonts w:eastAsia="MS Mincho"/>
                <w:b/>
                <w:bCs/>
                <w:noProof/>
                <w:szCs w:val="22"/>
                <w:lang w:val="en-US" w:eastAsia="en-US"/>
              </w:rPr>
            </w:pPr>
          </w:p>
          <w:p w14:paraId="1B0FEAEE" w14:textId="77777777" w:rsidR="00EA0232" w:rsidRPr="00D16DDF" w:rsidRDefault="00EA0232" w:rsidP="00EA0232">
            <w:pPr>
              <w:tabs>
                <w:tab w:val="left" w:pos="3660"/>
              </w:tabs>
              <w:ind w:left="284"/>
              <w:jc w:val="center"/>
              <w:rPr>
                <w:rFonts w:eastAsia="MS Mincho"/>
                <w:noProof/>
                <w:szCs w:val="22"/>
                <w:lang w:val="en-US" w:eastAsia="en-US"/>
              </w:rPr>
            </w:pPr>
            <w:r w:rsidRPr="00D16DDF">
              <w:rPr>
                <w:rFonts w:eastAsia="MS Mincho"/>
                <w:b/>
                <w:bCs/>
                <w:noProof/>
                <w:szCs w:val="22"/>
                <w:lang w:val="en-US" w:eastAsia="en-US"/>
              </w:rPr>
              <w:t xml:space="preserve">Estado de ejecución </w:t>
            </w:r>
          </w:p>
          <w:p w14:paraId="4CB45FF0" w14:textId="77777777" w:rsidR="00EA0232" w:rsidRPr="00D16DDF" w:rsidRDefault="00EA0232" w:rsidP="00EA0232">
            <w:pPr>
              <w:tabs>
                <w:tab w:val="left" w:pos="3660"/>
              </w:tabs>
              <w:ind w:left="284"/>
              <w:jc w:val="center"/>
              <w:rPr>
                <w:rFonts w:eastAsia="MS Mincho"/>
                <w:noProof/>
                <w:szCs w:val="22"/>
                <w:lang w:val="en-US" w:eastAsia="en-US"/>
              </w:rPr>
            </w:pPr>
          </w:p>
        </w:tc>
        <w:tc>
          <w:tcPr>
            <w:tcW w:w="3006" w:type="dxa"/>
            <w:tcBorders>
              <w:top w:val="single" w:sz="4" w:space="0" w:color="000000"/>
              <w:left w:val="single" w:sz="4" w:space="0" w:color="000000"/>
              <w:bottom w:val="single" w:sz="4" w:space="0" w:color="000000"/>
              <w:right w:val="single" w:sz="4" w:space="0" w:color="000000"/>
            </w:tcBorders>
          </w:tcPr>
          <w:p w14:paraId="3ED14BDC" w14:textId="77777777" w:rsidR="00E661DF" w:rsidRDefault="00E661DF" w:rsidP="00EA0232">
            <w:pPr>
              <w:tabs>
                <w:tab w:val="left" w:pos="3660"/>
              </w:tabs>
              <w:ind w:left="284"/>
              <w:jc w:val="center"/>
              <w:rPr>
                <w:rFonts w:eastAsia="MS Mincho"/>
                <w:b/>
                <w:bCs/>
                <w:noProof/>
                <w:szCs w:val="22"/>
                <w:lang w:val="en-US" w:eastAsia="en-US"/>
              </w:rPr>
            </w:pPr>
          </w:p>
          <w:p w14:paraId="7E58104F" w14:textId="77777777" w:rsidR="00EA0232" w:rsidRPr="00D16DDF" w:rsidRDefault="00EA0232" w:rsidP="00EA0232">
            <w:pPr>
              <w:tabs>
                <w:tab w:val="left" w:pos="3660"/>
              </w:tabs>
              <w:ind w:left="284"/>
              <w:jc w:val="center"/>
              <w:rPr>
                <w:rFonts w:eastAsia="MS Mincho"/>
                <w:noProof/>
                <w:szCs w:val="22"/>
                <w:lang w:val="en-US" w:eastAsia="en-US"/>
              </w:rPr>
            </w:pPr>
            <w:r w:rsidRPr="00D16DDF">
              <w:rPr>
                <w:rFonts w:eastAsia="MS Mincho"/>
                <w:b/>
                <w:bCs/>
                <w:noProof/>
                <w:szCs w:val="22"/>
                <w:lang w:val="en-US" w:eastAsia="en-US"/>
              </w:rPr>
              <w:t>Comments</w:t>
            </w:r>
          </w:p>
        </w:tc>
      </w:tr>
      <w:tr w:rsidR="00EA0232" w:rsidRPr="00FC0297" w14:paraId="18E23268" w14:textId="77777777" w:rsidTr="00296F5D">
        <w:trPr>
          <w:trHeight w:hRule="exact" w:val="3352"/>
          <w:jc w:val="center"/>
        </w:trPr>
        <w:tc>
          <w:tcPr>
            <w:tcW w:w="2142" w:type="dxa"/>
            <w:tcBorders>
              <w:top w:val="single" w:sz="4" w:space="0" w:color="000000"/>
              <w:left w:val="single" w:sz="4" w:space="0" w:color="000000"/>
              <w:bottom w:val="single" w:sz="4" w:space="0" w:color="000000"/>
              <w:right w:val="single" w:sz="4" w:space="0" w:color="000000"/>
            </w:tcBorders>
          </w:tcPr>
          <w:p w14:paraId="483031A3" w14:textId="77777777" w:rsidR="00EA0232" w:rsidRPr="00D16DDF" w:rsidRDefault="00EA0232" w:rsidP="00EA0232">
            <w:pPr>
              <w:ind w:left="284" w:right="142"/>
              <w:jc w:val="both"/>
              <w:rPr>
                <w:rFonts w:eastAsia="MS Mincho"/>
                <w:iCs/>
                <w:noProof/>
                <w:szCs w:val="22"/>
                <w:lang w:val="es-ES_tradnl" w:eastAsia="en-US"/>
              </w:rPr>
            </w:pPr>
          </w:p>
          <w:p w14:paraId="7BED0630" w14:textId="77777777" w:rsidR="00EA0232" w:rsidRPr="00D16DDF" w:rsidRDefault="00EA0232" w:rsidP="00EA0232">
            <w:pPr>
              <w:ind w:left="178" w:right="142"/>
              <w:jc w:val="both"/>
              <w:rPr>
                <w:rFonts w:eastAsia="MS Mincho"/>
                <w:noProof/>
                <w:szCs w:val="22"/>
                <w:lang w:val="es-ES_tradnl" w:eastAsia="en-US"/>
              </w:rPr>
            </w:pPr>
            <w:r w:rsidRPr="00D16DDF">
              <w:rPr>
                <w:rFonts w:eastAsia="MS Mincho"/>
                <w:iCs/>
                <w:noProof/>
                <w:szCs w:val="22"/>
                <w:lang w:val="es-ES_tradnl" w:eastAsia="en-US"/>
              </w:rPr>
              <w:t xml:space="preserve">Aquí se incluye el período cubierto por la auditoría: debe seguir un orden cronológico de año en año </w:t>
            </w:r>
          </w:p>
          <w:p w14:paraId="4F1366AF" w14:textId="77777777" w:rsidR="00EA0232" w:rsidRPr="00D16DDF" w:rsidRDefault="00EA0232" w:rsidP="00EA0232">
            <w:pPr>
              <w:ind w:left="284" w:right="142"/>
              <w:jc w:val="both"/>
              <w:rPr>
                <w:rFonts w:eastAsia="MS Mincho"/>
                <w:noProof/>
                <w:szCs w:val="22"/>
                <w:lang w:val="es-ES_tradnl" w:eastAsia="en-US"/>
              </w:rPr>
            </w:pPr>
          </w:p>
          <w:p w14:paraId="36571C2B" w14:textId="77777777" w:rsidR="00EA0232" w:rsidRPr="00D16DDF" w:rsidRDefault="00EA0232" w:rsidP="00EA0232">
            <w:pPr>
              <w:ind w:left="284" w:right="142"/>
              <w:jc w:val="both"/>
              <w:rPr>
                <w:rFonts w:eastAsia="MS Mincho"/>
                <w:noProof/>
                <w:szCs w:val="22"/>
                <w:lang w:val="es-ES_tradnl" w:eastAsia="en-US"/>
              </w:rPr>
            </w:pPr>
          </w:p>
          <w:p w14:paraId="46E07A3B" w14:textId="77777777" w:rsidR="00EA0232" w:rsidRPr="00D16DDF" w:rsidRDefault="00EA0232" w:rsidP="00EA0232">
            <w:pPr>
              <w:ind w:left="284" w:right="142"/>
              <w:jc w:val="both"/>
              <w:rPr>
                <w:rFonts w:eastAsia="MS Mincho"/>
                <w:noProof/>
                <w:szCs w:val="22"/>
                <w:lang w:val="es-ES_tradnl" w:eastAsia="en-US"/>
              </w:rPr>
            </w:pPr>
          </w:p>
          <w:p w14:paraId="2CBE16C1" w14:textId="77777777" w:rsidR="00EA0232" w:rsidRPr="00D16DDF" w:rsidRDefault="00EA0232" w:rsidP="00EA0232">
            <w:pPr>
              <w:ind w:left="284" w:right="142"/>
              <w:jc w:val="both"/>
              <w:rPr>
                <w:rFonts w:eastAsia="MS Mincho"/>
                <w:noProof/>
                <w:szCs w:val="22"/>
                <w:lang w:val="es-ES_tradnl" w:eastAsia="en-US"/>
              </w:rPr>
            </w:pPr>
          </w:p>
          <w:p w14:paraId="137BC47B" w14:textId="77777777" w:rsidR="00EA0232" w:rsidRPr="00D16DDF" w:rsidRDefault="00EA0232" w:rsidP="00EA0232">
            <w:pPr>
              <w:ind w:left="284" w:right="142"/>
              <w:jc w:val="both"/>
              <w:rPr>
                <w:rFonts w:eastAsia="MS Mincho"/>
                <w:noProof/>
                <w:szCs w:val="22"/>
                <w:lang w:val="es-ES_tradnl" w:eastAsia="en-US"/>
              </w:rPr>
            </w:pPr>
          </w:p>
          <w:p w14:paraId="0E2D5869" w14:textId="77777777" w:rsidR="00EA0232" w:rsidRPr="00D16DDF" w:rsidRDefault="00EA0232" w:rsidP="00EA0232">
            <w:pPr>
              <w:ind w:left="284" w:right="142"/>
              <w:jc w:val="both"/>
              <w:rPr>
                <w:rFonts w:eastAsia="MS Mincho"/>
                <w:noProof/>
                <w:szCs w:val="22"/>
                <w:lang w:val="es-ES_tradnl" w:eastAsia="en-US"/>
              </w:rPr>
            </w:pPr>
          </w:p>
        </w:tc>
        <w:tc>
          <w:tcPr>
            <w:tcW w:w="2562" w:type="dxa"/>
            <w:tcBorders>
              <w:top w:val="single" w:sz="4" w:space="0" w:color="000000"/>
              <w:left w:val="single" w:sz="4" w:space="0" w:color="000000"/>
              <w:bottom w:val="single" w:sz="4" w:space="0" w:color="000000"/>
              <w:right w:val="single" w:sz="4" w:space="0" w:color="000000"/>
            </w:tcBorders>
          </w:tcPr>
          <w:p w14:paraId="7CA570AF" w14:textId="77777777" w:rsidR="00EA0232" w:rsidRPr="00D16DDF" w:rsidRDefault="00EA0232" w:rsidP="00EA0232">
            <w:pPr>
              <w:ind w:left="284" w:right="142"/>
              <w:jc w:val="both"/>
              <w:rPr>
                <w:rFonts w:eastAsia="MS Mincho"/>
                <w:iCs/>
                <w:noProof/>
                <w:szCs w:val="22"/>
                <w:lang w:val="es-ES_tradnl" w:eastAsia="en-US"/>
              </w:rPr>
            </w:pPr>
          </w:p>
          <w:p w14:paraId="71E0E0C8" w14:textId="77777777" w:rsidR="00EA0232" w:rsidRPr="00D16DDF" w:rsidRDefault="00EA0232" w:rsidP="00EA0232">
            <w:pPr>
              <w:ind w:left="142" w:right="142"/>
              <w:jc w:val="both"/>
              <w:rPr>
                <w:rFonts w:eastAsia="MS Mincho"/>
                <w:noProof/>
                <w:szCs w:val="22"/>
                <w:lang w:val="es-ES_tradnl" w:eastAsia="en-US"/>
              </w:rPr>
            </w:pPr>
            <w:r w:rsidRPr="00D16DDF">
              <w:rPr>
                <w:rFonts w:eastAsia="MS Mincho"/>
                <w:iCs/>
                <w:noProof/>
                <w:szCs w:val="22"/>
                <w:lang w:val="es-ES_tradnl" w:eastAsia="en-US"/>
              </w:rPr>
              <w:t xml:space="preserve">Aquí se incluyen las conclusiones de auditorías previas. Dichas conclusiones deben citarse literalmente o reproducirse a partir de la carta de gestión correspondiente </w:t>
            </w:r>
          </w:p>
          <w:p w14:paraId="5B1C588F" w14:textId="77777777" w:rsidR="00EA0232" w:rsidRPr="00D16DDF" w:rsidRDefault="00EA0232" w:rsidP="00EA0232">
            <w:pPr>
              <w:ind w:left="284" w:right="142"/>
              <w:jc w:val="both"/>
              <w:rPr>
                <w:rFonts w:eastAsia="MS Mincho"/>
                <w:noProof/>
                <w:szCs w:val="22"/>
                <w:lang w:val="es-ES_tradnl" w:eastAsia="en-US"/>
              </w:rPr>
            </w:pPr>
          </w:p>
          <w:p w14:paraId="697E422F" w14:textId="77777777" w:rsidR="00EA0232" w:rsidRPr="00D16DDF" w:rsidRDefault="00EA0232" w:rsidP="00EA0232">
            <w:pPr>
              <w:ind w:left="284" w:right="142"/>
              <w:jc w:val="both"/>
              <w:rPr>
                <w:rFonts w:eastAsia="MS Mincho"/>
                <w:noProof/>
                <w:szCs w:val="22"/>
                <w:lang w:val="es-ES_tradnl" w:eastAsia="en-US"/>
              </w:rPr>
            </w:pPr>
          </w:p>
        </w:tc>
        <w:tc>
          <w:tcPr>
            <w:tcW w:w="2547" w:type="dxa"/>
            <w:tcBorders>
              <w:top w:val="single" w:sz="4" w:space="0" w:color="000000"/>
              <w:left w:val="single" w:sz="4" w:space="0" w:color="000000"/>
              <w:bottom w:val="single" w:sz="4" w:space="0" w:color="000000"/>
              <w:right w:val="single" w:sz="4" w:space="0" w:color="000000"/>
            </w:tcBorders>
          </w:tcPr>
          <w:p w14:paraId="2BBDF5EB" w14:textId="77777777" w:rsidR="00EA0232" w:rsidRPr="00D16DDF" w:rsidRDefault="00EA0232" w:rsidP="00EA0232">
            <w:pPr>
              <w:ind w:left="284" w:right="142"/>
              <w:jc w:val="both"/>
              <w:rPr>
                <w:rFonts w:eastAsia="MS Mincho"/>
                <w:iCs/>
                <w:noProof/>
                <w:szCs w:val="22"/>
                <w:lang w:val="es-ES_tradnl" w:eastAsia="en-US"/>
              </w:rPr>
            </w:pPr>
          </w:p>
          <w:p w14:paraId="319000FA" w14:textId="77777777" w:rsidR="00EA0232" w:rsidRPr="00D16DDF" w:rsidRDefault="00EA0232" w:rsidP="00EA0232">
            <w:pPr>
              <w:ind w:left="142" w:right="142"/>
              <w:jc w:val="both"/>
              <w:rPr>
                <w:rFonts w:eastAsia="MS Mincho"/>
                <w:noProof/>
                <w:szCs w:val="22"/>
                <w:lang w:val="es-ES_tradnl" w:eastAsia="en-US"/>
              </w:rPr>
            </w:pPr>
            <w:r w:rsidRPr="00D16DDF">
              <w:rPr>
                <w:rFonts w:eastAsia="MS Mincho"/>
                <w:iCs/>
                <w:noProof/>
                <w:szCs w:val="22"/>
                <w:lang w:val="es-ES_tradnl" w:eastAsia="en-US"/>
              </w:rPr>
              <w:t xml:space="preserve">Aquí se incluyen las recomendaciones relacionadas con las conclusiones de la columna anterior mediante citas literales de la carta de gestión correspondiente </w:t>
            </w:r>
          </w:p>
          <w:p w14:paraId="7C825108" w14:textId="77777777" w:rsidR="00EA0232" w:rsidRPr="00D16DDF" w:rsidRDefault="00EA0232" w:rsidP="00EA0232">
            <w:pPr>
              <w:ind w:left="142" w:right="142"/>
              <w:jc w:val="both"/>
              <w:rPr>
                <w:rFonts w:eastAsia="MS Mincho"/>
                <w:noProof/>
                <w:szCs w:val="22"/>
                <w:lang w:val="es-ES_tradnl" w:eastAsia="en-US"/>
              </w:rPr>
            </w:pPr>
          </w:p>
          <w:p w14:paraId="2E6B946C" w14:textId="77777777" w:rsidR="00EA0232" w:rsidRPr="00D16DDF" w:rsidRDefault="00EA0232" w:rsidP="00EA0232">
            <w:pPr>
              <w:ind w:left="284" w:right="142"/>
              <w:jc w:val="both"/>
              <w:rPr>
                <w:rFonts w:eastAsia="MS Mincho"/>
                <w:noProof/>
                <w:szCs w:val="22"/>
                <w:lang w:val="es-ES_tradnl" w:eastAsia="en-US"/>
              </w:rPr>
            </w:pPr>
          </w:p>
          <w:p w14:paraId="7029B817" w14:textId="77777777" w:rsidR="00EA0232" w:rsidRPr="00D16DDF" w:rsidRDefault="00EA0232" w:rsidP="00EA0232">
            <w:pPr>
              <w:ind w:left="284" w:right="142"/>
              <w:jc w:val="both"/>
              <w:rPr>
                <w:rFonts w:eastAsia="MS Mincho"/>
                <w:noProof/>
                <w:szCs w:val="22"/>
                <w:lang w:val="es-ES_tradnl" w:eastAsia="en-US"/>
              </w:rPr>
            </w:pPr>
          </w:p>
          <w:p w14:paraId="0B8847CA" w14:textId="77777777" w:rsidR="00EA0232" w:rsidRPr="00D16DDF" w:rsidRDefault="00EA0232" w:rsidP="00EA0232">
            <w:pPr>
              <w:ind w:left="284" w:right="142"/>
              <w:jc w:val="both"/>
              <w:rPr>
                <w:rFonts w:eastAsia="MS Mincho"/>
                <w:noProof/>
                <w:szCs w:val="22"/>
                <w:lang w:val="es-ES_tradnl" w:eastAsia="en-US"/>
              </w:rPr>
            </w:pPr>
          </w:p>
        </w:tc>
        <w:tc>
          <w:tcPr>
            <w:tcW w:w="4360" w:type="dxa"/>
            <w:tcBorders>
              <w:top w:val="single" w:sz="4" w:space="0" w:color="000000"/>
              <w:left w:val="single" w:sz="4" w:space="0" w:color="000000"/>
              <w:bottom w:val="single" w:sz="4" w:space="0" w:color="000000"/>
              <w:right w:val="single" w:sz="4" w:space="0" w:color="000000"/>
            </w:tcBorders>
          </w:tcPr>
          <w:p w14:paraId="0636C68F" w14:textId="77777777" w:rsidR="00EA0232" w:rsidRPr="00D16DDF" w:rsidRDefault="00EA0232" w:rsidP="00EA0232">
            <w:pPr>
              <w:ind w:left="284" w:right="142"/>
              <w:jc w:val="both"/>
              <w:rPr>
                <w:rFonts w:eastAsia="MS Mincho"/>
                <w:iCs/>
                <w:noProof/>
                <w:szCs w:val="22"/>
                <w:lang w:val="es-ES_tradnl" w:eastAsia="en-US"/>
              </w:rPr>
            </w:pPr>
          </w:p>
          <w:p w14:paraId="7E6C1BEF" w14:textId="77777777" w:rsidR="00EA0232" w:rsidRPr="00D16DDF" w:rsidRDefault="00EA0232" w:rsidP="00EA0232">
            <w:pPr>
              <w:ind w:left="142" w:right="142"/>
              <w:jc w:val="both"/>
              <w:rPr>
                <w:rFonts w:eastAsia="MS Mincho"/>
                <w:iCs/>
                <w:noProof/>
                <w:szCs w:val="22"/>
                <w:lang w:val="es-ES_tradnl" w:eastAsia="en-US"/>
              </w:rPr>
            </w:pPr>
            <w:r w:rsidRPr="00D16DDF">
              <w:rPr>
                <w:rFonts w:eastAsia="MS Mincho"/>
                <w:iCs/>
                <w:noProof/>
                <w:szCs w:val="22"/>
                <w:lang w:val="es-ES_tradnl" w:eastAsia="en-US"/>
              </w:rPr>
              <w:t xml:space="preserve">Aquí se incluye el estado de ejecución mediante los  siguientes códigos: </w:t>
            </w:r>
          </w:p>
          <w:p w14:paraId="1478A4AD" w14:textId="77777777" w:rsidR="00EA0232" w:rsidRPr="00D16DDF" w:rsidRDefault="00EA0232" w:rsidP="00EA0232">
            <w:pPr>
              <w:ind w:left="142" w:right="142"/>
              <w:jc w:val="both"/>
              <w:rPr>
                <w:rFonts w:eastAsia="MS Mincho"/>
                <w:iCs/>
                <w:noProof/>
                <w:szCs w:val="22"/>
                <w:lang w:val="es-ES_tradnl" w:eastAsia="en-US"/>
              </w:rPr>
            </w:pPr>
          </w:p>
          <w:p w14:paraId="73523645" w14:textId="77777777" w:rsidR="00EA0232" w:rsidRPr="00D16DDF" w:rsidRDefault="00EA0232" w:rsidP="00EA0232">
            <w:pPr>
              <w:ind w:left="142" w:right="142"/>
              <w:jc w:val="both"/>
              <w:rPr>
                <w:rFonts w:eastAsia="MS Mincho"/>
                <w:noProof/>
                <w:szCs w:val="22"/>
                <w:lang w:val="es-ES_tradnl" w:eastAsia="en-US"/>
              </w:rPr>
            </w:pPr>
            <w:r w:rsidRPr="00D16DDF">
              <w:rPr>
                <w:rFonts w:eastAsia="MS Mincho"/>
                <w:iCs/>
                <w:noProof/>
                <w:szCs w:val="22"/>
                <w:lang w:val="es-ES_tradnl" w:eastAsia="en-US"/>
              </w:rPr>
              <w:t>Y (Sí): muestra la ejecución total de las recomendaciones</w:t>
            </w:r>
            <w:r w:rsidRPr="00D16DDF">
              <w:rPr>
                <w:rFonts w:eastAsia="MS Mincho"/>
                <w:noProof/>
                <w:szCs w:val="22"/>
                <w:lang w:val="es-ES_tradnl" w:eastAsia="en-US"/>
              </w:rPr>
              <w:t xml:space="preserve">, </w:t>
            </w:r>
          </w:p>
          <w:p w14:paraId="33F8E276" w14:textId="77777777" w:rsidR="00EA0232" w:rsidRPr="00D16DDF" w:rsidRDefault="00EA0232" w:rsidP="00EA0232">
            <w:pPr>
              <w:ind w:left="142" w:right="142"/>
              <w:jc w:val="both"/>
              <w:rPr>
                <w:rFonts w:eastAsia="MS Mincho"/>
                <w:noProof/>
                <w:szCs w:val="22"/>
                <w:lang w:val="es-ES_tradnl" w:eastAsia="en-US"/>
              </w:rPr>
            </w:pPr>
          </w:p>
          <w:p w14:paraId="6E14AA32" w14:textId="77777777" w:rsidR="00EA0232" w:rsidRPr="00D16DDF" w:rsidRDefault="00EA0232" w:rsidP="00EA0232">
            <w:pPr>
              <w:ind w:left="142" w:right="142"/>
              <w:jc w:val="both"/>
              <w:rPr>
                <w:rFonts w:eastAsia="MS Mincho"/>
                <w:iCs/>
                <w:noProof/>
                <w:szCs w:val="22"/>
                <w:lang w:val="es-ES_tradnl" w:eastAsia="en-US"/>
              </w:rPr>
            </w:pPr>
            <w:r w:rsidRPr="00D16DDF">
              <w:rPr>
                <w:rFonts w:eastAsia="MS Mincho"/>
                <w:iCs/>
                <w:noProof/>
                <w:szCs w:val="22"/>
                <w:lang w:val="es-ES_tradnl" w:eastAsia="en-US"/>
              </w:rPr>
              <w:t>N (No): muestra que las recomendaciones aún debe ejecutarse y no se han tomado medidas para comenzar a hacerlo,</w:t>
            </w:r>
          </w:p>
          <w:p w14:paraId="29D23E7F" w14:textId="77777777" w:rsidR="00EA0232" w:rsidRPr="00D16DDF" w:rsidRDefault="00EA0232" w:rsidP="00EA0232">
            <w:pPr>
              <w:ind w:left="142" w:right="142"/>
              <w:jc w:val="both"/>
              <w:rPr>
                <w:rFonts w:eastAsia="MS Mincho"/>
                <w:noProof/>
                <w:szCs w:val="22"/>
                <w:lang w:val="es-ES_tradnl" w:eastAsia="en-US"/>
              </w:rPr>
            </w:pPr>
          </w:p>
          <w:p w14:paraId="01B44B35" w14:textId="77777777" w:rsidR="00EA0232" w:rsidRPr="00D16DDF" w:rsidRDefault="00EA0232" w:rsidP="00EA0232">
            <w:pPr>
              <w:ind w:left="142" w:right="142"/>
              <w:jc w:val="both"/>
              <w:rPr>
                <w:rFonts w:eastAsia="MS Mincho"/>
                <w:noProof/>
                <w:szCs w:val="22"/>
                <w:lang w:val="es-ES_tradnl" w:eastAsia="en-US"/>
              </w:rPr>
            </w:pPr>
            <w:r w:rsidRPr="00D16DDF">
              <w:rPr>
                <w:rFonts w:eastAsia="MS Mincho"/>
                <w:iCs/>
                <w:noProof/>
                <w:szCs w:val="22"/>
                <w:lang w:val="es-ES_tradnl" w:eastAsia="en-US"/>
              </w:rPr>
              <w:t xml:space="preserve">P (Parcial): muestra que la ejecución ha comenzado pero aún debe completarse </w:t>
            </w:r>
          </w:p>
        </w:tc>
        <w:tc>
          <w:tcPr>
            <w:tcW w:w="3006" w:type="dxa"/>
            <w:tcBorders>
              <w:top w:val="single" w:sz="4" w:space="0" w:color="000000"/>
              <w:left w:val="single" w:sz="4" w:space="0" w:color="000000"/>
              <w:bottom w:val="single" w:sz="4" w:space="0" w:color="000000"/>
              <w:right w:val="single" w:sz="4" w:space="0" w:color="000000"/>
            </w:tcBorders>
          </w:tcPr>
          <w:p w14:paraId="7CB5E526" w14:textId="77777777" w:rsidR="00EA0232" w:rsidRPr="00D16DDF" w:rsidRDefault="00EA0232" w:rsidP="00EA0232">
            <w:pPr>
              <w:ind w:left="284" w:right="142"/>
              <w:jc w:val="both"/>
              <w:rPr>
                <w:rFonts w:eastAsia="MS Mincho"/>
                <w:iCs/>
                <w:noProof/>
                <w:szCs w:val="22"/>
                <w:lang w:val="es-ES_tradnl" w:eastAsia="en-US"/>
              </w:rPr>
            </w:pPr>
          </w:p>
          <w:p w14:paraId="6924EC26" w14:textId="77777777" w:rsidR="00EA0232" w:rsidRPr="00D16DDF" w:rsidRDefault="00EA0232" w:rsidP="00EA0232">
            <w:pPr>
              <w:ind w:left="284" w:right="142"/>
              <w:jc w:val="both"/>
              <w:rPr>
                <w:rFonts w:eastAsia="MS Mincho"/>
                <w:szCs w:val="22"/>
                <w:lang w:val="es-ES_tradnl" w:eastAsia="en-US"/>
              </w:rPr>
            </w:pPr>
            <w:r w:rsidRPr="00D16DDF">
              <w:rPr>
                <w:rFonts w:eastAsia="MS Mincho"/>
                <w:iCs/>
                <w:noProof/>
                <w:szCs w:val="22"/>
                <w:lang w:val="es-ES_tradnl" w:eastAsia="en-US"/>
              </w:rPr>
              <w:t>Para las categorías N y P, debe indicarse el período de auditoría desde que se identificaron por primera vez el hallazgo y la recomendación, entre otras cosas</w:t>
            </w:r>
          </w:p>
          <w:p w14:paraId="48845CA0" w14:textId="77777777" w:rsidR="00EA0232" w:rsidRPr="00D16DDF" w:rsidRDefault="00EA0232" w:rsidP="00EA0232">
            <w:pPr>
              <w:ind w:left="284" w:right="142"/>
              <w:jc w:val="both"/>
              <w:rPr>
                <w:rFonts w:eastAsia="MS Mincho"/>
                <w:szCs w:val="22"/>
                <w:lang w:val="es-ES_tradnl" w:eastAsia="en-US"/>
              </w:rPr>
            </w:pPr>
          </w:p>
        </w:tc>
      </w:tr>
    </w:tbl>
    <w:p w14:paraId="38B46FD0" w14:textId="77777777" w:rsidR="00EA0232" w:rsidRDefault="00EA0232" w:rsidP="00EA0232">
      <w:pPr>
        <w:rPr>
          <w:rFonts w:eastAsia="MS Mincho"/>
          <w:szCs w:val="22"/>
          <w:lang w:val="es-ES_tradnl" w:eastAsia="en-US"/>
        </w:rPr>
      </w:pPr>
    </w:p>
    <w:p w14:paraId="7D324298" w14:textId="77777777" w:rsidR="002E6843" w:rsidRPr="00D16DDF" w:rsidRDefault="002E6843" w:rsidP="002E6843">
      <w:pPr>
        <w:rPr>
          <w:rFonts w:eastAsia="MS Mincho"/>
          <w:b/>
          <w:szCs w:val="22"/>
          <w:lang w:val="es-ES_tradnl" w:eastAsia="en-US"/>
        </w:rPr>
      </w:pPr>
      <w:r w:rsidRPr="00D16DDF">
        <w:rPr>
          <w:rFonts w:eastAsia="MS Mincho"/>
          <w:b/>
          <w:szCs w:val="22"/>
          <w:lang w:val="es-ES_tradnl" w:eastAsia="en-US"/>
        </w:rPr>
        <w:t xml:space="preserve">Información de gastos no conformes </w:t>
      </w:r>
    </w:p>
    <w:p w14:paraId="0C31BEBA" w14:textId="77777777" w:rsidR="002E6843" w:rsidRDefault="002E6843" w:rsidP="00EA0232">
      <w:pPr>
        <w:rPr>
          <w:rFonts w:eastAsia="MS Mincho"/>
          <w:szCs w:val="22"/>
          <w:lang w:val="es-ES_tradnl" w:eastAsia="en-US"/>
        </w:rPr>
      </w:pPr>
    </w:p>
    <w:tbl>
      <w:tblPr>
        <w:tblW w:w="14718" w:type="dxa"/>
        <w:tblLook w:val="04A0" w:firstRow="1" w:lastRow="0" w:firstColumn="1" w:lastColumn="0" w:noHBand="0" w:noVBand="1"/>
      </w:tblPr>
      <w:tblGrid>
        <w:gridCol w:w="2652"/>
        <w:gridCol w:w="1967"/>
        <w:gridCol w:w="2341"/>
        <w:gridCol w:w="2752"/>
        <w:gridCol w:w="5006"/>
      </w:tblGrid>
      <w:tr w:rsidR="00E661DF" w:rsidRPr="00FC0297" w14:paraId="5706898B" w14:textId="77777777" w:rsidTr="00296F5D">
        <w:trPr>
          <w:trHeight w:val="631"/>
        </w:trPr>
        <w:tc>
          <w:tcPr>
            <w:tcW w:w="26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6EA2A2" w14:textId="77777777" w:rsidR="002E6843" w:rsidRPr="00D16DDF" w:rsidRDefault="008D5A7A" w:rsidP="00762014">
            <w:pPr>
              <w:jc w:val="center"/>
              <w:rPr>
                <w:rFonts w:cs="Calibri"/>
                <w:b/>
                <w:bCs/>
                <w:color w:val="000000"/>
                <w:szCs w:val="22"/>
                <w:lang w:val="es-ES_tradnl" w:eastAsia="en-US"/>
              </w:rPr>
            </w:pPr>
            <w:r>
              <w:rPr>
                <w:rFonts w:cs="Calibri"/>
                <w:b/>
                <w:bCs/>
                <w:color w:val="000000"/>
                <w:szCs w:val="22"/>
                <w:lang w:val="es-ES_tradnl" w:eastAsia="en-US"/>
              </w:rPr>
              <w:t>Des</w:t>
            </w:r>
            <w:r w:rsidR="002E6843" w:rsidRPr="00D16DDF">
              <w:rPr>
                <w:rFonts w:cs="Calibri"/>
                <w:b/>
                <w:bCs/>
                <w:color w:val="000000"/>
                <w:szCs w:val="22"/>
                <w:lang w:val="es-ES_tradnl" w:eastAsia="en-US"/>
              </w:rPr>
              <w:t>cripción</w:t>
            </w:r>
          </w:p>
        </w:tc>
        <w:tc>
          <w:tcPr>
            <w:tcW w:w="1967" w:type="dxa"/>
            <w:tcBorders>
              <w:top w:val="single" w:sz="8" w:space="0" w:color="auto"/>
              <w:left w:val="nil"/>
              <w:bottom w:val="single" w:sz="8" w:space="0" w:color="auto"/>
              <w:right w:val="single" w:sz="8" w:space="0" w:color="auto"/>
            </w:tcBorders>
            <w:shd w:val="clear" w:color="auto" w:fill="auto"/>
            <w:vAlign w:val="center"/>
            <w:hideMark/>
          </w:tcPr>
          <w:p w14:paraId="0E62227B" w14:textId="77777777" w:rsidR="002E6843" w:rsidRPr="00D16DDF" w:rsidRDefault="002E6843" w:rsidP="00762014">
            <w:pPr>
              <w:jc w:val="center"/>
              <w:rPr>
                <w:rFonts w:cs="Calibri"/>
                <w:b/>
                <w:bCs/>
                <w:color w:val="000000"/>
                <w:szCs w:val="22"/>
                <w:lang w:val="es-ES_tradnl" w:eastAsia="en-US"/>
              </w:rPr>
            </w:pPr>
            <w:r w:rsidRPr="00D16DDF">
              <w:rPr>
                <w:rFonts w:cs="Calibri"/>
                <w:b/>
                <w:bCs/>
                <w:color w:val="000000"/>
                <w:szCs w:val="22"/>
                <w:lang w:val="es-ES_tradnl" w:eastAsia="en-US"/>
              </w:rPr>
              <w:t>Gastos no justificados</w:t>
            </w:r>
          </w:p>
        </w:tc>
        <w:tc>
          <w:tcPr>
            <w:tcW w:w="2341" w:type="dxa"/>
            <w:tcBorders>
              <w:top w:val="single" w:sz="8" w:space="0" w:color="auto"/>
              <w:left w:val="nil"/>
              <w:bottom w:val="single" w:sz="8" w:space="0" w:color="auto"/>
              <w:right w:val="single" w:sz="8" w:space="0" w:color="auto"/>
            </w:tcBorders>
            <w:shd w:val="clear" w:color="auto" w:fill="auto"/>
            <w:vAlign w:val="center"/>
            <w:hideMark/>
          </w:tcPr>
          <w:p w14:paraId="65D18573" w14:textId="77777777" w:rsidR="002E6843" w:rsidRPr="00D16DDF" w:rsidRDefault="002E6843" w:rsidP="00762014">
            <w:pPr>
              <w:jc w:val="center"/>
              <w:rPr>
                <w:rFonts w:cs="Calibri"/>
                <w:b/>
                <w:bCs/>
                <w:color w:val="000000"/>
                <w:szCs w:val="22"/>
                <w:lang w:val="es-ES_tradnl" w:eastAsia="en-US"/>
              </w:rPr>
            </w:pPr>
            <w:r w:rsidRPr="00D16DDF">
              <w:rPr>
                <w:rFonts w:cs="Calibri"/>
                <w:b/>
                <w:bCs/>
                <w:color w:val="000000"/>
                <w:szCs w:val="22"/>
                <w:lang w:val="es-ES_tradnl" w:eastAsia="en-US"/>
              </w:rPr>
              <w:t xml:space="preserve">Gastos incurridos fuera del alcance o del período de la subvención </w:t>
            </w:r>
          </w:p>
        </w:tc>
        <w:tc>
          <w:tcPr>
            <w:tcW w:w="2752" w:type="dxa"/>
            <w:tcBorders>
              <w:top w:val="single" w:sz="8" w:space="0" w:color="auto"/>
              <w:left w:val="nil"/>
              <w:bottom w:val="single" w:sz="8" w:space="0" w:color="auto"/>
              <w:right w:val="single" w:sz="8" w:space="0" w:color="auto"/>
            </w:tcBorders>
            <w:shd w:val="clear" w:color="auto" w:fill="auto"/>
            <w:vAlign w:val="center"/>
            <w:hideMark/>
          </w:tcPr>
          <w:p w14:paraId="31F97288" w14:textId="77777777" w:rsidR="002E6843" w:rsidRPr="00D16DDF" w:rsidRDefault="002E6843" w:rsidP="00762014">
            <w:pPr>
              <w:jc w:val="center"/>
              <w:rPr>
                <w:rFonts w:cs="Calibri"/>
                <w:b/>
                <w:bCs/>
                <w:color w:val="000000"/>
                <w:szCs w:val="22"/>
                <w:lang w:val="es-ES_tradnl" w:eastAsia="en-US"/>
              </w:rPr>
            </w:pPr>
            <w:r w:rsidRPr="00D16DDF">
              <w:rPr>
                <w:rFonts w:cs="Calibri"/>
                <w:b/>
                <w:bCs/>
                <w:color w:val="000000"/>
                <w:szCs w:val="22"/>
                <w:lang w:val="es-ES_tradnl" w:eastAsia="en-US"/>
              </w:rPr>
              <w:t xml:space="preserve">Gastos comprometidos por prácticas prohibidas </w:t>
            </w:r>
          </w:p>
        </w:tc>
        <w:tc>
          <w:tcPr>
            <w:tcW w:w="5006" w:type="dxa"/>
            <w:tcBorders>
              <w:top w:val="single" w:sz="8" w:space="0" w:color="auto"/>
              <w:left w:val="nil"/>
              <w:bottom w:val="single" w:sz="8" w:space="0" w:color="auto"/>
              <w:right w:val="single" w:sz="8" w:space="0" w:color="auto"/>
            </w:tcBorders>
            <w:shd w:val="clear" w:color="auto" w:fill="auto"/>
            <w:vAlign w:val="center"/>
            <w:hideMark/>
          </w:tcPr>
          <w:p w14:paraId="49AB9882" w14:textId="77777777" w:rsidR="002E6843" w:rsidRPr="00D16DDF" w:rsidRDefault="002E6843" w:rsidP="00762014">
            <w:pPr>
              <w:jc w:val="center"/>
              <w:rPr>
                <w:rFonts w:cs="Calibri"/>
                <w:b/>
                <w:bCs/>
                <w:color w:val="000000"/>
                <w:szCs w:val="22"/>
                <w:lang w:val="es-ES_tradnl" w:eastAsia="en-US"/>
              </w:rPr>
            </w:pPr>
            <w:r w:rsidRPr="00D16DDF">
              <w:rPr>
                <w:rFonts w:cs="Calibri"/>
                <w:b/>
                <w:bCs/>
                <w:color w:val="000000"/>
                <w:szCs w:val="22"/>
                <w:lang w:val="es-ES_tradnl" w:eastAsia="en-US"/>
              </w:rPr>
              <w:t>Gastos relativos a otros tipos de disconformidad o gestión indebida de fondos de las subvenciones (o de bienes o servicios adquiridos con estos fondos)</w:t>
            </w:r>
          </w:p>
        </w:tc>
      </w:tr>
      <w:tr w:rsidR="00E661DF" w:rsidRPr="00D16DDF" w14:paraId="3B1A57A6" w14:textId="77777777" w:rsidTr="00296F5D">
        <w:trPr>
          <w:trHeight w:val="399"/>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30D77CED" w14:textId="77777777" w:rsidR="002E6843" w:rsidRPr="00D16DDF" w:rsidRDefault="002E6843" w:rsidP="00762014">
            <w:pPr>
              <w:rPr>
                <w:rFonts w:cs="Calibri"/>
                <w:color w:val="000000"/>
                <w:szCs w:val="22"/>
                <w:lang w:val="es-ES_tradnl" w:eastAsia="en-US"/>
              </w:rPr>
            </w:pPr>
            <w:r w:rsidRPr="00D16DDF">
              <w:rPr>
                <w:rFonts w:cs="Calibri"/>
                <w:color w:val="000000"/>
                <w:szCs w:val="22"/>
                <w:lang w:val="es-ES_tradnl" w:eastAsia="en-US"/>
              </w:rPr>
              <w:t>Recursos humanos</w:t>
            </w:r>
          </w:p>
        </w:tc>
        <w:tc>
          <w:tcPr>
            <w:tcW w:w="1967" w:type="dxa"/>
            <w:tcBorders>
              <w:top w:val="nil"/>
              <w:left w:val="nil"/>
              <w:bottom w:val="single" w:sz="8" w:space="0" w:color="auto"/>
              <w:right w:val="single" w:sz="8" w:space="0" w:color="auto"/>
            </w:tcBorders>
            <w:shd w:val="clear" w:color="auto" w:fill="auto"/>
            <w:vAlign w:val="center"/>
            <w:hideMark/>
          </w:tcPr>
          <w:p w14:paraId="55E06B5C"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341" w:type="dxa"/>
            <w:tcBorders>
              <w:top w:val="nil"/>
              <w:left w:val="nil"/>
              <w:bottom w:val="single" w:sz="8" w:space="0" w:color="auto"/>
              <w:right w:val="single" w:sz="8" w:space="0" w:color="auto"/>
            </w:tcBorders>
            <w:shd w:val="clear" w:color="auto" w:fill="auto"/>
            <w:vAlign w:val="center"/>
            <w:hideMark/>
          </w:tcPr>
          <w:p w14:paraId="1D838B68"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752" w:type="dxa"/>
            <w:tcBorders>
              <w:top w:val="nil"/>
              <w:left w:val="nil"/>
              <w:bottom w:val="single" w:sz="8" w:space="0" w:color="auto"/>
              <w:right w:val="single" w:sz="8" w:space="0" w:color="auto"/>
            </w:tcBorders>
            <w:shd w:val="clear" w:color="auto" w:fill="auto"/>
            <w:vAlign w:val="center"/>
            <w:hideMark/>
          </w:tcPr>
          <w:p w14:paraId="5A87C63C"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5006" w:type="dxa"/>
            <w:tcBorders>
              <w:top w:val="nil"/>
              <w:left w:val="nil"/>
              <w:bottom w:val="single" w:sz="8" w:space="0" w:color="auto"/>
              <w:right w:val="single" w:sz="8" w:space="0" w:color="auto"/>
            </w:tcBorders>
            <w:shd w:val="clear" w:color="auto" w:fill="auto"/>
            <w:vAlign w:val="center"/>
            <w:hideMark/>
          </w:tcPr>
          <w:p w14:paraId="25CCC124"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r>
      <w:tr w:rsidR="00E661DF" w:rsidRPr="00D16DDF" w14:paraId="798D2976" w14:textId="77777777" w:rsidTr="00296F5D">
        <w:trPr>
          <w:trHeight w:val="485"/>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7CA13F69" w14:textId="77777777" w:rsidR="002E6843" w:rsidRPr="00D16DDF" w:rsidRDefault="002E6843" w:rsidP="00762014">
            <w:pPr>
              <w:rPr>
                <w:rFonts w:cs="Calibri"/>
                <w:color w:val="000000"/>
                <w:szCs w:val="22"/>
                <w:lang w:val="es-ES_tradnl" w:eastAsia="en-US"/>
              </w:rPr>
            </w:pPr>
            <w:r w:rsidRPr="00D16DDF">
              <w:rPr>
                <w:rFonts w:cs="Calibri"/>
                <w:color w:val="000000"/>
                <w:szCs w:val="22"/>
                <w:lang w:val="es-ES_tradnl" w:eastAsia="en-US"/>
              </w:rPr>
              <w:t>Costos relacionados con viajes</w:t>
            </w:r>
          </w:p>
        </w:tc>
        <w:tc>
          <w:tcPr>
            <w:tcW w:w="1967" w:type="dxa"/>
            <w:tcBorders>
              <w:top w:val="nil"/>
              <w:left w:val="nil"/>
              <w:bottom w:val="single" w:sz="8" w:space="0" w:color="auto"/>
              <w:right w:val="single" w:sz="8" w:space="0" w:color="auto"/>
            </w:tcBorders>
            <w:shd w:val="clear" w:color="auto" w:fill="auto"/>
            <w:vAlign w:val="center"/>
            <w:hideMark/>
          </w:tcPr>
          <w:p w14:paraId="510AA39E"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341" w:type="dxa"/>
            <w:tcBorders>
              <w:top w:val="nil"/>
              <w:left w:val="nil"/>
              <w:bottom w:val="single" w:sz="8" w:space="0" w:color="auto"/>
              <w:right w:val="single" w:sz="8" w:space="0" w:color="auto"/>
            </w:tcBorders>
            <w:shd w:val="clear" w:color="auto" w:fill="auto"/>
            <w:vAlign w:val="center"/>
            <w:hideMark/>
          </w:tcPr>
          <w:p w14:paraId="2033C3A2"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752" w:type="dxa"/>
            <w:tcBorders>
              <w:top w:val="nil"/>
              <w:left w:val="nil"/>
              <w:bottom w:val="single" w:sz="8" w:space="0" w:color="auto"/>
              <w:right w:val="single" w:sz="8" w:space="0" w:color="auto"/>
            </w:tcBorders>
            <w:shd w:val="clear" w:color="auto" w:fill="auto"/>
            <w:vAlign w:val="center"/>
            <w:hideMark/>
          </w:tcPr>
          <w:p w14:paraId="7CE4F284"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5006" w:type="dxa"/>
            <w:tcBorders>
              <w:top w:val="nil"/>
              <w:left w:val="nil"/>
              <w:bottom w:val="single" w:sz="8" w:space="0" w:color="auto"/>
              <w:right w:val="single" w:sz="8" w:space="0" w:color="auto"/>
            </w:tcBorders>
            <w:shd w:val="clear" w:color="auto" w:fill="auto"/>
            <w:vAlign w:val="center"/>
            <w:hideMark/>
          </w:tcPr>
          <w:p w14:paraId="7638BBE5"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r>
      <w:tr w:rsidR="00E661DF" w:rsidRPr="00D16DDF" w14:paraId="6FA2CD45" w14:textId="77777777" w:rsidTr="00296F5D">
        <w:trPr>
          <w:trHeight w:val="472"/>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377C9C03" w14:textId="77777777" w:rsidR="002E6843" w:rsidRPr="00D16DDF" w:rsidRDefault="002E6843" w:rsidP="00762014">
            <w:pPr>
              <w:rPr>
                <w:rFonts w:cs="Calibri"/>
                <w:color w:val="000000"/>
                <w:szCs w:val="22"/>
                <w:lang w:val="es-ES_tradnl" w:eastAsia="en-US"/>
              </w:rPr>
            </w:pPr>
            <w:r w:rsidRPr="00D16DDF">
              <w:rPr>
                <w:rFonts w:cs="Calibri"/>
                <w:color w:val="000000"/>
                <w:szCs w:val="22"/>
                <w:lang w:val="es-ES_tradnl" w:eastAsia="en-US"/>
              </w:rPr>
              <w:t>Relacionados con adquisiciones</w:t>
            </w:r>
          </w:p>
        </w:tc>
        <w:tc>
          <w:tcPr>
            <w:tcW w:w="1967" w:type="dxa"/>
            <w:tcBorders>
              <w:top w:val="nil"/>
              <w:left w:val="nil"/>
              <w:bottom w:val="single" w:sz="8" w:space="0" w:color="auto"/>
              <w:right w:val="single" w:sz="8" w:space="0" w:color="auto"/>
            </w:tcBorders>
            <w:shd w:val="clear" w:color="auto" w:fill="auto"/>
            <w:vAlign w:val="center"/>
            <w:hideMark/>
          </w:tcPr>
          <w:p w14:paraId="4279FA94"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341" w:type="dxa"/>
            <w:tcBorders>
              <w:top w:val="nil"/>
              <w:left w:val="nil"/>
              <w:bottom w:val="single" w:sz="8" w:space="0" w:color="auto"/>
              <w:right w:val="single" w:sz="8" w:space="0" w:color="auto"/>
            </w:tcBorders>
            <w:shd w:val="clear" w:color="auto" w:fill="auto"/>
            <w:vAlign w:val="center"/>
            <w:hideMark/>
          </w:tcPr>
          <w:p w14:paraId="5C8ED149"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752" w:type="dxa"/>
            <w:tcBorders>
              <w:top w:val="nil"/>
              <w:left w:val="nil"/>
              <w:bottom w:val="single" w:sz="8" w:space="0" w:color="auto"/>
              <w:right w:val="single" w:sz="8" w:space="0" w:color="auto"/>
            </w:tcBorders>
            <w:shd w:val="clear" w:color="auto" w:fill="auto"/>
            <w:vAlign w:val="center"/>
            <w:hideMark/>
          </w:tcPr>
          <w:p w14:paraId="6DFFCF55"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5006" w:type="dxa"/>
            <w:tcBorders>
              <w:top w:val="nil"/>
              <w:left w:val="nil"/>
              <w:bottom w:val="single" w:sz="8" w:space="0" w:color="auto"/>
              <w:right w:val="single" w:sz="8" w:space="0" w:color="auto"/>
            </w:tcBorders>
            <w:shd w:val="clear" w:color="auto" w:fill="auto"/>
            <w:vAlign w:val="center"/>
            <w:hideMark/>
          </w:tcPr>
          <w:p w14:paraId="09C1ECB7"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r>
      <w:tr w:rsidR="00E661DF" w:rsidRPr="00D16DDF" w14:paraId="39192F22" w14:textId="77777777" w:rsidTr="00296F5D">
        <w:trPr>
          <w:trHeight w:val="389"/>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53A9B106" w14:textId="77777777" w:rsidR="002E6843" w:rsidRPr="00D16DDF" w:rsidRDefault="002E6843" w:rsidP="00762014">
            <w:pPr>
              <w:rPr>
                <w:rFonts w:cs="Calibri"/>
                <w:color w:val="000000"/>
                <w:szCs w:val="22"/>
                <w:lang w:val="es-ES_tradnl" w:eastAsia="en-US"/>
              </w:rPr>
            </w:pPr>
            <w:r w:rsidRPr="00D16DDF">
              <w:rPr>
                <w:rFonts w:cs="Calibri"/>
                <w:color w:val="000000"/>
                <w:szCs w:val="22"/>
                <w:lang w:val="es-ES_tradnl" w:eastAsia="en-US"/>
              </w:rPr>
              <w:t>Otros</w:t>
            </w:r>
          </w:p>
        </w:tc>
        <w:tc>
          <w:tcPr>
            <w:tcW w:w="1967" w:type="dxa"/>
            <w:tcBorders>
              <w:top w:val="nil"/>
              <w:left w:val="nil"/>
              <w:bottom w:val="single" w:sz="8" w:space="0" w:color="auto"/>
              <w:right w:val="single" w:sz="8" w:space="0" w:color="auto"/>
            </w:tcBorders>
            <w:shd w:val="clear" w:color="auto" w:fill="auto"/>
            <w:vAlign w:val="center"/>
            <w:hideMark/>
          </w:tcPr>
          <w:p w14:paraId="2FF90ED1"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341" w:type="dxa"/>
            <w:tcBorders>
              <w:top w:val="nil"/>
              <w:left w:val="nil"/>
              <w:bottom w:val="single" w:sz="8" w:space="0" w:color="auto"/>
              <w:right w:val="single" w:sz="8" w:space="0" w:color="auto"/>
            </w:tcBorders>
            <w:shd w:val="clear" w:color="auto" w:fill="auto"/>
            <w:vAlign w:val="center"/>
            <w:hideMark/>
          </w:tcPr>
          <w:p w14:paraId="00BA4763"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2752" w:type="dxa"/>
            <w:tcBorders>
              <w:top w:val="nil"/>
              <w:left w:val="nil"/>
              <w:bottom w:val="single" w:sz="8" w:space="0" w:color="auto"/>
              <w:right w:val="single" w:sz="8" w:space="0" w:color="auto"/>
            </w:tcBorders>
            <w:shd w:val="clear" w:color="auto" w:fill="auto"/>
            <w:vAlign w:val="center"/>
            <w:hideMark/>
          </w:tcPr>
          <w:p w14:paraId="0551642E"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c>
          <w:tcPr>
            <w:tcW w:w="5006" w:type="dxa"/>
            <w:tcBorders>
              <w:top w:val="nil"/>
              <w:left w:val="nil"/>
              <w:bottom w:val="single" w:sz="8" w:space="0" w:color="auto"/>
              <w:right w:val="single" w:sz="8" w:space="0" w:color="auto"/>
            </w:tcBorders>
            <w:shd w:val="clear" w:color="auto" w:fill="auto"/>
            <w:vAlign w:val="center"/>
            <w:hideMark/>
          </w:tcPr>
          <w:p w14:paraId="1E7CE991" w14:textId="77777777" w:rsidR="002E6843" w:rsidRPr="00D16DDF" w:rsidRDefault="002E6843" w:rsidP="00762014">
            <w:pPr>
              <w:rPr>
                <w:rFonts w:cs="Calibri"/>
                <w:color w:val="000000"/>
                <w:szCs w:val="22"/>
                <w:lang w:val="en-US" w:eastAsia="en-US"/>
              </w:rPr>
            </w:pPr>
            <w:r w:rsidRPr="00D16DDF">
              <w:rPr>
                <w:rFonts w:cs="Calibri"/>
                <w:color w:val="000000"/>
                <w:szCs w:val="22"/>
                <w:lang w:val="en-US" w:eastAsia="en-US"/>
              </w:rPr>
              <w:t> </w:t>
            </w:r>
          </w:p>
        </w:tc>
      </w:tr>
    </w:tbl>
    <w:p w14:paraId="16320289" w14:textId="77777777" w:rsidR="002E6843" w:rsidRDefault="002E6843" w:rsidP="00EA0232">
      <w:pPr>
        <w:rPr>
          <w:rFonts w:eastAsia="MS Mincho"/>
          <w:szCs w:val="22"/>
          <w:lang w:val="es-ES_tradnl" w:eastAsia="en-US"/>
        </w:rPr>
        <w:sectPr w:rsidR="002E6843" w:rsidSect="00296F5D">
          <w:pgSz w:w="16840" w:h="11900" w:orient="landscape"/>
          <w:pgMar w:top="1440" w:right="1080" w:bottom="1440" w:left="1080" w:header="851" w:footer="851" w:gutter="0"/>
          <w:cols w:space="720"/>
          <w:docGrid w:linePitch="360"/>
        </w:sectPr>
      </w:pPr>
    </w:p>
    <w:p w14:paraId="1797EF07" w14:textId="77777777" w:rsidR="00EA0232" w:rsidRPr="00D16DDF" w:rsidRDefault="002E6843" w:rsidP="00EA0232">
      <w:pPr>
        <w:rPr>
          <w:rFonts w:eastAsia="MS Mincho"/>
          <w:b/>
          <w:szCs w:val="22"/>
          <w:lang w:val="es-ES_tradnl" w:eastAsia="en-US"/>
        </w:rPr>
      </w:pPr>
      <w:r>
        <w:rPr>
          <w:rFonts w:eastAsia="MS Mincho"/>
          <w:b/>
          <w:szCs w:val="22"/>
          <w:lang w:val="es-ES_tradnl" w:eastAsia="en-US"/>
        </w:rPr>
        <w:t>C</w:t>
      </w:r>
      <w:r w:rsidR="00EA0232" w:rsidRPr="00D16DDF">
        <w:rPr>
          <w:rFonts w:eastAsia="MS Mincho"/>
          <w:b/>
          <w:szCs w:val="22"/>
          <w:lang w:val="es-ES_tradnl" w:eastAsia="en-US"/>
        </w:rPr>
        <w:t>onclusiones del control interno</w:t>
      </w:r>
    </w:p>
    <w:p w14:paraId="3AB9AE4B" w14:textId="77777777" w:rsidR="00EA0232" w:rsidRDefault="00EA0232" w:rsidP="00EA0232">
      <w:pPr>
        <w:rPr>
          <w:rFonts w:eastAsia="MS Gothic"/>
          <w:bCs/>
          <w:noProof/>
          <w:color w:val="7F7F7F"/>
          <w:szCs w:val="22"/>
          <w:lang w:val="en-US" w:eastAsia="en-US"/>
        </w:rPr>
      </w:pPr>
    </w:p>
    <w:tbl>
      <w:tblPr>
        <w:tblW w:w="5000" w:type="pct"/>
        <w:jc w:val="center"/>
        <w:tblLayout w:type="fixed"/>
        <w:tblLook w:val="04A0" w:firstRow="1" w:lastRow="0" w:firstColumn="1" w:lastColumn="0" w:noHBand="0" w:noVBand="1"/>
      </w:tblPr>
      <w:tblGrid>
        <w:gridCol w:w="334"/>
        <w:gridCol w:w="4915"/>
        <w:gridCol w:w="657"/>
        <w:gridCol w:w="565"/>
        <w:gridCol w:w="595"/>
        <w:gridCol w:w="512"/>
        <w:gridCol w:w="486"/>
        <w:gridCol w:w="530"/>
        <w:gridCol w:w="521"/>
        <w:gridCol w:w="465"/>
        <w:gridCol w:w="507"/>
        <w:gridCol w:w="471"/>
        <w:gridCol w:w="465"/>
        <w:gridCol w:w="616"/>
        <w:gridCol w:w="244"/>
        <w:gridCol w:w="445"/>
        <w:gridCol w:w="486"/>
        <w:gridCol w:w="424"/>
        <w:gridCol w:w="47"/>
        <w:gridCol w:w="562"/>
        <w:gridCol w:w="878"/>
      </w:tblGrid>
      <w:tr w:rsidR="00296F5D" w:rsidRPr="00296F5D" w14:paraId="3CFEC3B2" w14:textId="77777777" w:rsidTr="00296F5D">
        <w:trPr>
          <w:trHeight w:val="1200"/>
          <w:jc w:val="center"/>
        </w:trPr>
        <w:tc>
          <w:tcPr>
            <w:tcW w:w="1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60496B"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w:t>
            </w:r>
          </w:p>
        </w:tc>
        <w:tc>
          <w:tcPr>
            <w:tcW w:w="1669" w:type="pct"/>
            <w:tcBorders>
              <w:top w:val="single" w:sz="4" w:space="0" w:color="auto"/>
              <w:left w:val="nil"/>
              <w:bottom w:val="single" w:sz="4" w:space="0" w:color="auto"/>
              <w:right w:val="nil"/>
            </w:tcBorders>
            <w:shd w:val="clear" w:color="000000" w:fill="FFFFFF"/>
            <w:hideMark/>
          </w:tcPr>
          <w:p w14:paraId="08ED3D01"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Áreas funcionales</w:t>
            </w:r>
          </w:p>
        </w:tc>
        <w:tc>
          <w:tcPr>
            <w:tcW w:w="617" w:type="pct"/>
            <w:gridSpan w:val="3"/>
            <w:tcBorders>
              <w:top w:val="single" w:sz="8" w:space="0" w:color="auto"/>
              <w:left w:val="single" w:sz="8" w:space="0" w:color="auto"/>
              <w:bottom w:val="single" w:sz="4" w:space="0" w:color="auto"/>
              <w:right w:val="nil"/>
            </w:tcBorders>
            <w:shd w:val="clear" w:color="000000" w:fill="FFFFFF"/>
            <w:hideMark/>
          </w:tcPr>
          <w:p w14:paraId="104A0C82"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 xml:space="preserve">Flujo inadecuado de las disposiciones de fondos </w:t>
            </w:r>
          </w:p>
        </w:tc>
        <w:tc>
          <w:tcPr>
            <w:tcW w:w="519" w:type="pct"/>
            <w:gridSpan w:val="3"/>
            <w:tcBorders>
              <w:top w:val="single" w:sz="8" w:space="0" w:color="auto"/>
              <w:left w:val="single" w:sz="8" w:space="0" w:color="auto"/>
              <w:bottom w:val="single" w:sz="4" w:space="0" w:color="auto"/>
              <w:right w:val="single" w:sz="8" w:space="0" w:color="000000"/>
            </w:tcBorders>
            <w:shd w:val="clear" w:color="000000" w:fill="FFFFFF"/>
            <w:hideMark/>
          </w:tcPr>
          <w:p w14:paraId="03CEA17A"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 xml:space="preserve">Controles internos inadecuados </w:t>
            </w:r>
          </w:p>
        </w:tc>
        <w:tc>
          <w:tcPr>
            <w:tcW w:w="507" w:type="pct"/>
            <w:gridSpan w:val="3"/>
            <w:tcBorders>
              <w:top w:val="single" w:sz="8" w:space="0" w:color="auto"/>
              <w:left w:val="nil"/>
              <w:bottom w:val="single" w:sz="4" w:space="0" w:color="auto"/>
              <w:right w:val="single" w:sz="8" w:space="0" w:color="000000"/>
            </w:tcBorders>
            <w:shd w:val="clear" w:color="000000" w:fill="FFFFFF"/>
            <w:hideMark/>
          </w:tcPr>
          <w:p w14:paraId="291569C6"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 xml:space="preserve">Fraude financiero, corrupción y robo </w:t>
            </w:r>
          </w:p>
        </w:tc>
        <w:tc>
          <w:tcPr>
            <w:tcW w:w="527" w:type="pct"/>
            <w:gridSpan w:val="3"/>
            <w:tcBorders>
              <w:top w:val="single" w:sz="8" w:space="0" w:color="auto"/>
              <w:left w:val="nil"/>
              <w:bottom w:val="single" w:sz="4" w:space="0" w:color="auto"/>
              <w:right w:val="single" w:sz="8" w:space="0" w:color="000000"/>
            </w:tcBorders>
            <w:shd w:val="clear" w:color="000000" w:fill="FFFFFF"/>
            <w:hideMark/>
          </w:tcPr>
          <w:p w14:paraId="3587A5B6"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Comunicación inadecuada de la información financiera y contable</w:t>
            </w:r>
          </w:p>
        </w:tc>
        <w:tc>
          <w:tcPr>
            <w:tcW w:w="543" w:type="pct"/>
            <w:gridSpan w:val="4"/>
            <w:tcBorders>
              <w:top w:val="single" w:sz="8" w:space="0" w:color="auto"/>
              <w:left w:val="nil"/>
              <w:bottom w:val="single" w:sz="4" w:space="0" w:color="auto"/>
              <w:right w:val="single" w:sz="8" w:space="0" w:color="000000"/>
            </w:tcBorders>
            <w:shd w:val="clear" w:color="000000" w:fill="FFFFFF"/>
          </w:tcPr>
          <w:p w14:paraId="2FED11F8"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 xml:space="preserve">Optimización limitada de los recursos  </w:t>
            </w:r>
          </w:p>
        </w:tc>
        <w:tc>
          <w:tcPr>
            <w:tcW w:w="505" w:type="pct"/>
            <w:gridSpan w:val="3"/>
            <w:tcBorders>
              <w:top w:val="single" w:sz="8" w:space="0" w:color="auto"/>
              <w:left w:val="nil"/>
              <w:bottom w:val="single" w:sz="4" w:space="0" w:color="auto"/>
              <w:right w:val="single" w:sz="8" w:space="0" w:color="000000"/>
            </w:tcBorders>
            <w:shd w:val="clear" w:color="000000" w:fill="FFFFFF"/>
          </w:tcPr>
          <w:p w14:paraId="34D726F8"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 xml:space="preserve">Disposiciones de auditoría inadecuadas </w:t>
            </w:r>
          </w:p>
        </w:tc>
      </w:tr>
      <w:tr w:rsidR="00296F5D" w:rsidRPr="00296F5D" w14:paraId="443BBC7D" w14:textId="77777777" w:rsidTr="00296F5D">
        <w:trPr>
          <w:trHeight w:val="315"/>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14A66812"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 </w:t>
            </w:r>
          </w:p>
        </w:tc>
        <w:tc>
          <w:tcPr>
            <w:tcW w:w="1669" w:type="pct"/>
            <w:tcBorders>
              <w:top w:val="nil"/>
              <w:left w:val="nil"/>
              <w:bottom w:val="single" w:sz="4" w:space="0" w:color="auto"/>
              <w:right w:val="nil"/>
            </w:tcBorders>
            <w:shd w:val="clear" w:color="000000" w:fill="FFFFFF"/>
            <w:hideMark/>
          </w:tcPr>
          <w:p w14:paraId="4EF33D4D" w14:textId="77777777" w:rsidR="00296F5D" w:rsidRPr="00296F5D" w:rsidRDefault="00296F5D" w:rsidP="0087454C">
            <w:pPr>
              <w:jc w:val="center"/>
              <w:rPr>
                <w:rFonts w:cs="Calibri"/>
                <w:b/>
                <w:bCs/>
                <w:color w:val="000000"/>
                <w:sz w:val="20"/>
                <w:szCs w:val="20"/>
                <w:lang w:val="es-ES_tradnl"/>
              </w:rPr>
            </w:pPr>
            <w:r w:rsidRPr="00296F5D">
              <w:rPr>
                <w:rFonts w:cs="Calibri"/>
                <w:b/>
                <w:bCs/>
                <w:color w:val="000000"/>
                <w:sz w:val="20"/>
                <w:szCs w:val="20"/>
                <w:lang w:val="es-ES_tradnl"/>
              </w:rPr>
              <w:t>Calificación</w:t>
            </w:r>
          </w:p>
        </w:tc>
        <w:tc>
          <w:tcPr>
            <w:tcW w:w="223" w:type="pct"/>
            <w:tcBorders>
              <w:top w:val="nil"/>
              <w:left w:val="single" w:sz="8" w:space="0" w:color="auto"/>
              <w:bottom w:val="single" w:sz="8" w:space="0" w:color="auto"/>
              <w:right w:val="single" w:sz="4" w:space="0" w:color="auto"/>
            </w:tcBorders>
            <w:shd w:val="clear" w:color="000000" w:fill="FFFFFF"/>
            <w:hideMark/>
          </w:tcPr>
          <w:p w14:paraId="648386BE"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w:t>
            </w:r>
          </w:p>
        </w:tc>
        <w:tc>
          <w:tcPr>
            <w:tcW w:w="192" w:type="pct"/>
            <w:tcBorders>
              <w:top w:val="nil"/>
              <w:left w:val="nil"/>
              <w:bottom w:val="single" w:sz="8" w:space="0" w:color="auto"/>
              <w:right w:val="single" w:sz="4" w:space="0" w:color="auto"/>
            </w:tcBorders>
            <w:shd w:val="clear" w:color="000000" w:fill="FFFFFF"/>
            <w:hideMark/>
          </w:tcPr>
          <w:p w14:paraId="24D503B6"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w:t>
            </w:r>
          </w:p>
        </w:tc>
        <w:tc>
          <w:tcPr>
            <w:tcW w:w="202" w:type="pct"/>
            <w:tcBorders>
              <w:top w:val="nil"/>
              <w:left w:val="nil"/>
              <w:bottom w:val="single" w:sz="8" w:space="0" w:color="auto"/>
              <w:right w:val="nil"/>
            </w:tcBorders>
            <w:shd w:val="clear" w:color="000000" w:fill="FFFFFF"/>
            <w:hideMark/>
          </w:tcPr>
          <w:p w14:paraId="1AFC2B0C"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III</w:t>
            </w:r>
          </w:p>
        </w:tc>
        <w:tc>
          <w:tcPr>
            <w:tcW w:w="174" w:type="pct"/>
            <w:tcBorders>
              <w:top w:val="nil"/>
              <w:left w:val="single" w:sz="8" w:space="0" w:color="auto"/>
              <w:bottom w:val="single" w:sz="8" w:space="0" w:color="auto"/>
              <w:right w:val="single" w:sz="4" w:space="0" w:color="auto"/>
            </w:tcBorders>
            <w:shd w:val="clear" w:color="000000" w:fill="FFFFFF"/>
            <w:hideMark/>
          </w:tcPr>
          <w:p w14:paraId="570C1B3D"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 xml:space="preserve">I </w:t>
            </w:r>
          </w:p>
        </w:tc>
        <w:tc>
          <w:tcPr>
            <w:tcW w:w="165" w:type="pct"/>
            <w:tcBorders>
              <w:top w:val="nil"/>
              <w:left w:val="nil"/>
              <w:bottom w:val="single" w:sz="8" w:space="0" w:color="auto"/>
              <w:right w:val="single" w:sz="4" w:space="0" w:color="auto"/>
            </w:tcBorders>
            <w:shd w:val="clear" w:color="000000" w:fill="FFFFFF"/>
            <w:hideMark/>
          </w:tcPr>
          <w:p w14:paraId="067DCFA0"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w:t>
            </w:r>
          </w:p>
        </w:tc>
        <w:tc>
          <w:tcPr>
            <w:tcW w:w="179" w:type="pct"/>
            <w:tcBorders>
              <w:top w:val="nil"/>
              <w:left w:val="nil"/>
              <w:bottom w:val="single" w:sz="8" w:space="0" w:color="auto"/>
              <w:right w:val="single" w:sz="8" w:space="0" w:color="auto"/>
            </w:tcBorders>
            <w:shd w:val="clear" w:color="000000" w:fill="FFFFFF"/>
            <w:hideMark/>
          </w:tcPr>
          <w:p w14:paraId="2392E626"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III</w:t>
            </w:r>
          </w:p>
        </w:tc>
        <w:tc>
          <w:tcPr>
            <w:tcW w:w="177" w:type="pct"/>
            <w:tcBorders>
              <w:top w:val="nil"/>
              <w:left w:val="nil"/>
              <w:bottom w:val="single" w:sz="8" w:space="0" w:color="auto"/>
              <w:right w:val="single" w:sz="4" w:space="0" w:color="auto"/>
            </w:tcBorders>
            <w:shd w:val="clear" w:color="000000" w:fill="FFFFFF"/>
            <w:hideMark/>
          </w:tcPr>
          <w:p w14:paraId="5593FC0C"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 xml:space="preserve">I </w:t>
            </w:r>
          </w:p>
        </w:tc>
        <w:tc>
          <w:tcPr>
            <w:tcW w:w="158" w:type="pct"/>
            <w:tcBorders>
              <w:top w:val="nil"/>
              <w:left w:val="nil"/>
              <w:bottom w:val="single" w:sz="8" w:space="0" w:color="auto"/>
              <w:right w:val="single" w:sz="4" w:space="0" w:color="auto"/>
            </w:tcBorders>
            <w:shd w:val="clear" w:color="000000" w:fill="FFFFFF"/>
            <w:hideMark/>
          </w:tcPr>
          <w:p w14:paraId="293933B3"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w:t>
            </w:r>
          </w:p>
        </w:tc>
        <w:tc>
          <w:tcPr>
            <w:tcW w:w="172" w:type="pct"/>
            <w:tcBorders>
              <w:top w:val="nil"/>
              <w:left w:val="nil"/>
              <w:bottom w:val="single" w:sz="8" w:space="0" w:color="auto"/>
              <w:right w:val="single" w:sz="8" w:space="0" w:color="auto"/>
            </w:tcBorders>
            <w:shd w:val="clear" w:color="000000" w:fill="FFFFFF"/>
            <w:hideMark/>
          </w:tcPr>
          <w:p w14:paraId="12811D9E"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III</w:t>
            </w:r>
          </w:p>
        </w:tc>
        <w:tc>
          <w:tcPr>
            <w:tcW w:w="160" w:type="pct"/>
            <w:tcBorders>
              <w:top w:val="nil"/>
              <w:left w:val="nil"/>
              <w:bottom w:val="single" w:sz="8" w:space="0" w:color="auto"/>
              <w:right w:val="single" w:sz="4" w:space="0" w:color="auto"/>
            </w:tcBorders>
            <w:shd w:val="clear" w:color="000000" w:fill="FFFFFF"/>
            <w:hideMark/>
          </w:tcPr>
          <w:p w14:paraId="7E59E3BA"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 xml:space="preserve">I </w:t>
            </w:r>
          </w:p>
        </w:tc>
        <w:tc>
          <w:tcPr>
            <w:tcW w:w="158" w:type="pct"/>
            <w:tcBorders>
              <w:top w:val="nil"/>
              <w:left w:val="nil"/>
              <w:bottom w:val="single" w:sz="8" w:space="0" w:color="auto"/>
              <w:right w:val="single" w:sz="4" w:space="0" w:color="auto"/>
            </w:tcBorders>
            <w:shd w:val="clear" w:color="000000" w:fill="FFFFFF"/>
            <w:hideMark/>
          </w:tcPr>
          <w:p w14:paraId="598252A6"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w:t>
            </w:r>
          </w:p>
        </w:tc>
        <w:tc>
          <w:tcPr>
            <w:tcW w:w="209" w:type="pct"/>
            <w:tcBorders>
              <w:top w:val="nil"/>
              <w:left w:val="nil"/>
              <w:bottom w:val="single" w:sz="8" w:space="0" w:color="auto"/>
              <w:right w:val="single" w:sz="8" w:space="0" w:color="auto"/>
            </w:tcBorders>
            <w:shd w:val="clear" w:color="000000" w:fill="FFFFFF"/>
            <w:hideMark/>
          </w:tcPr>
          <w:p w14:paraId="77A9A2B6"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III</w:t>
            </w:r>
          </w:p>
        </w:tc>
        <w:tc>
          <w:tcPr>
            <w:tcW w:w="83" w:type="pct"/>
            <w:tcBorders>
              <w:top w:val="nil"/>
              <w:left w:val="nil"/>
              <w:bottom w:val="single" w:sz="8" w:space="0" w:color="auto"/>
              <w:right w:val="single" w:sz="4" w:space="0" w:color="auto"/>
            </w:tcBorders>
            <w:shd w:val="clear" w:color="000000" w:fill="FFFFFF"/>
            <w:hideMark/>
          </w:tcPr>
          <w:p w14:paraId="41D41C59"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 xml:space="preserve">I </w:t>
            </w:r>
          </w:p>
        </w:tc>
        <w:tc>
          <w:tcPr>
            <w:tcW w:w="151" w:type="pct"/>
            <w:tcBorders>
              <w:top w:val="nil"/>
              <w:left w:val="nil"/>
              <w:bottom w:val="single" w:sz="8" w:space="0" w:color="auto"/>
              <w:right w:val="single" w:sz="4" w:space="0" w:color="auto"/>
            </w:tcBorders>
            <w:shd w:val="clear" w:color="000000" w:fill="FFFFFF"/>
            <w:hideMark/>
          </w:tcPr>
          <w:p w14:paraId="01506278"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w:t>
            </w:r>
          </w:p>
        </w:tc>
        <w:tc>
          <w:tcPr>
            <w:tcW w:w="165" w:type="pct"/>
            <w:tcBorders>
              <w:top w:val="nil"/>
              <w:left w:val="nil"/>
              <w:bottom w:val="single" w:sz="8" w:space="0" w:color="auto"/>
              <w:right w:val="single" w:sz="8" w:space="0" w:color="auto"/>
            </w:tcBorders>
            <w:shd w:val="clear" w:color="000000" w:fill="FFFFFF"/>
            <w:hideMark/>
          </w:tcPr>
          <w:p w14:paraId="03DE4ACC"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III</w:t>
            </w:r>
          </w:p>
        </w:tc>
        <w:tc>
          <w:tcPr>
            <w:tcW w:w="160" w:type="pct"/>
            <w:gridSpan w:val="2"/>
            <w:tcBorders>
              <w:top w:val="nil"/>
              <w:left w:val="nil"/>
              <w:bottom w:val="single" w:sz="8" w:space="0" w:color="auto"/>
              <w:right w:val="single" w:sz="4" w:space="0" w:color="auto"/>
            </w:tcBorders>
            <w:shd w:val="clear" w:color="000000" w:fill="FFFFFF"/>
            <w:hideMark/>
          </w:tcPr>
          <w:p w14:paraId="01E8263E"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 xml:space="preserve">I </w:t>
            </w:r>
          </w:p>
        </w:tc>
        <w:tc>
          <w:tcPr>
            <w:tcW w:w="191" w:type="pct"/>
            <w:tcBorders>
              <w:top w:val="nil"/>
              <w:left w:val="nil"/>
              <w:bottom w:val="single" w:sz="8" w:space="0" w:color="auto"/>
              <w:right w:val="single" w:sz="4" w:space="0" w:color="auto"/>
            </w:tcBorders>
            <w:shd w:val="clear" w:color="000000" w:fill="FFFFFF"/>
            <w:hideMark/>
          </w:tcPr>
          <w:p w14:paraId="420FC4FD"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w:t>
            </w:r>
          </w:p>
        </w:tc>
        <w:tc>
          <w:tcPr>
            <w:tcW w:w="298" w:type="pct"/>
            <w:tcBorders>
              <w:top w:val="nil"/>
              <w:left w:val="nil"/>
              <w:bottom w:val="single" w:sz="8" w:space="0" w:color="auto"/>
              <w:right w:val="single" w:sz="8" w:space="0" w:color="auto"/>
            </w:tcBorders>
            <w:shd w:val="clear" w:color="000000" w:fill="FFFFFF"/>
            <w:hideMark/>
          </w:tcPr>
          <w:p w14:paraId="7204FBC6"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III</w:t>
            </w:r>
          </w:p>
        </w:tc>
      </w:tr>
      <w:tr w:rsidR="00296F5D" w:rsidRPr="00296F5D" w14:paraId="21A66EB3"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42BACE11"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1</w:t>
            </w:r>
          </w:p>
        </w:tc>
        <w:tc>
          <w:tcPr>
            <w:tcW w:w="1669" w:type="pct"/>
            <w:tcBorders>
              <w:top w:val="nil"/>
              <w:left w:val="nil"/>
              <w:bottom w:val="single" w:sz="4" w:space="0" w:color="auto"/>
              <w:right w:val="single" w:sz="4" w:space="0" w:color="auto"/>
            </w:tcBorders>
            <w:shd w:val="clear" w:color="000000" w:fill="FFFFFF"/>
            <w:noWrap/>
            <w:vAlign w:val="bottom"/>
            <w:hideMark/>
          </w:tcPr>
          <w:p w14:paraId="13804708"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xml:space="preserve">Gestión financiera </w:t>
            </w:r>
          </w:p>
        </w:tc>
        <w:tc>
          <w:tcPr>
            <w:tcW w:w="223" w:type="pct"/>
            <w:tcBorders>
              <w:top w:val="nil"/>
              <w:left w:val="nil"/>
              <w:bottom w:val="single" w:sz="4" w:space="0" w:color="auto"/>
              <w:right w:val="single" w:sz="4" w:space="0" w:color="auto"/>
            </w:tcBorders>
            <w:shd w:val="clear" w:color="000000" w:fill="FFFFFF"/>
            <w:noWrap/>
            <w:vAlign w:val="bottom"/>
            <w:hideMark/>
          </w:tcPr>
          <w:p w14:paraId="3B31C41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7F3D6DF0"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2AF957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5506954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7899BFE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3D63C51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378D5BA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4502BE89"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15545A93"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602373D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4B201962"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297A9E5E"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601A46D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6B1CF6B4"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51314B9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6B2E48A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69A63C94"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96EFB2B" w14:textId="77777777" w:rsidR="00296F5D" w:rsidRPr="00296F5D" w:rsidRDefault="00296F5D" w:rsidP="0087454C">
            <w:pPr>
              <w:rPr>
                <w:rFonts w:cs="Calibri"/>
                <w:color w:val="000000"/>
                <w:sz w:val="20"/>
                <w:szCs w:val="20"/>
              </w:rPr>
            </w:pPr>
            <w:r w:rsidRPr="00296F5D">
              <w:rPr>
                <w:rFonts w:cs="Calibri"/>
                <w:color w:val="000000"/>
                <w:sz w:val="20"/>
                <w:szCs w:val="20"/>
              </w:rPr>
              <w:t> </w:t>
            </w:r>
          </w:p>
        </w:tc>
      </w:tr>
      <w:tr w:rsidR="00296F5D" w:rsidRPr="00296F5D" w14:paraId="4F9EC048"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08F186D9"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2</w:t>
            </w:r>
          </w:p>
        </w:tc>
        <w:tc>
          <w:tcPr>
            <w:tcW w:w="1669" w:type="pct"/>
            <w:tcBorders>
              <w:top w:val="nil"/>
              <w:left w:val="nil"/>
              <w:bottom w:val="single" w:sz="4" w:space="0" w:color="auto"/>
              <w:right w:val="single" w:sz="4" w:space="0" w:color="auto"/>
            </w:tcBorders>
            <w:shd w:val="clear" w:color="000000" w:fill="FFFFFF"/>
            <w:noWrap/>
            <w:vAlign w:val="bottom"/>
            <w:hideMark/>
          </w:tcPr>
          <w:p w14:paraId="34CEE0B0"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xml:space="preserve">Gestión de </w:t>
            </w:r>
            <w:r w:rsidR="006A0A92" w:rsidRPr="00296F5D">
              <w:rPr>
                <w:rFonts w:cs="Calibri"/>
                <w:color w:val="000000"/>
                <w:sz w:val="20"/>
                <w:szCs w:val="20"/>
                <w:lang w:val="es-ES_tradnl"/>
              </w:rPr>
              <w:t>su receptores</w:t>
            </w:r>
          </w:p>
        </w:tc>
        <w:tc>
          <w:tcPr>
            <w:tcW w:w="223" w:type="pct"/>
            <w:tcBorders>
              <w:top w:val="nil"/>
              <w:left w:val="nil"/>
              <w:bottom w:val="single" w:sz="4" w:space="0" w:color="auto"/>
              <w:right w:val="single" w:sz="4" w:space="0" w:color="auto"/>
            </w:tcBorders>
            <w:shd w:val="clear" w:color="000000" w:fill="FFFFFF"/>
            <w:noWrap/>
            <w:vAlign w:val="bottom"/>
            <w:hideMark/>
          </w:tcPr>
          <w:p w14:paraId="7F8EA011"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1D9FAE1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1E6F417"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642EC542"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715269F0"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01B70AC9"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66257864"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4688771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7C4D60E7"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3F8B7CEC"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65443F13"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0634B7D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2F7D50D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7593994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3A6D2492"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820C9C9"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6CE9E834"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647DF7F8" w14:textId="77777777" w:rsidR="00296F5D" w:rsidRPr="00296F5D" w:rsidRDefault="00296F5D" w:rsidP="0087454C">
            <w:pPr>
              <w:rPr>
                <w:rFonts w:cs="Calibri"/>
                <w:color w:val="000000"/>
                <w:sz w:val="20"/>
                <w:szCs w:val="20"/>
              </w:rPr>
            </w:pPr>
            <w:r w:rsidRPr="00296F5D">
              <w:rPr>
                <w:rFonts w:cs="Calibri"/>
                <w:color w:val="000000"/>
                <w:sz w:val="20"/>
                <w:szCs w:val="20"/>
              </w:rPr>
              <w:t> </w:t>
            </w:r>
          </w:p>
        </w:tc>
      </w:tr>
      <w:tr w:rsidR="00296F5D" w:rsidRPr="00296F5D" w14:paraId="4BAC5862"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1843662C"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3</w:t>
            </w:r>
          </w:p>
        </w:tc>
        <w:tc>
          <w:tcPr>
            <w:tcW w:w="1669" w:type="pct"/>
            <w:tcBorders>
              <w:top w:val="nil"/>
              <w:left w:val="nil"/>
              <w:bottom w:val="single" w:sz="4" w:space="0" w:color="auto"/>
              <w:right w:val="single" w:sz="4" w:space="0" w:color="auto"/>
            </w:tcBorders>
            <w:shd w:val="clear" w:color="000000" w:fill="FFFFFF"/>
            <w:noWrap/>
            <w:vAlign w:val="bottom"/>
            <w:hideMark/>
          </w:tcPr>
          <w:p w14:paraId="6CB35B8E"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Gestión de programas</w:t>
            </w:r>
          </w:p>
        </w:tc>
        <w:tc>
          <w:tcPr>
            <w:tcW w:w="223" w:type="pct"/>
            <w:tcBorders>
              <w:top w:val="nil"/>
              <w:left w:val="nil"/>
              <w:bottom w:val="single" w:sz="4" w:space="0" w:color="auto"/>
              <w:right w:val="single" w:sz="4" w:space="0" w:color="auto"/>
            </w:tcBorders>
            <w:shd w:val="clear" w:color="000000" w:fill="FFFFFF"/>
            <w:noWrap/>
            <w:vAlign w:val="bottom"/>
            <w:hideMark/>
          </w:tcPr>
          <w:p w14:paraId="37CC51E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346F7D9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432B053"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17A3342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6B14610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07DB57D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04C55DD3"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22AD1A2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65D13457"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25D1D635"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7E13789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4C06CBD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3BC6E8EC"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58E27C33"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03C3A1E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326A137"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7C03785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C2CBF1C" w14:textId="77777777" w:rsidR="00296F5D" w:rsidRPr="00296F5D" w:rsidRDefault="00296F5D" w:rsidP="0087454C">
            <w:pPr>
              <w:rPr>
                <w:rFonts w:cs="Calibri"/>
                <w:color w:val="000000"/>
                <w:sz w:val="20"/>
                <w:szCs w:val="20"/>
              </w:rPr>
            </w:pPr>
            <w:r w:rsidRPr="00296F5D">
              <w:rPr>
                <w:rFonts w:cs="Calibri"/>
                <w:color w:val="000000"/>
                <w:sz w:val="20"/>
                <w:szCs w:val="20"/>
              </w:rPr>
              <w:t> </w:t>
            </w:r>
          </w:p>
        </w:tc>
      </w:tr>
      <w:tr w:rsidR="00296F5D" w:rsidRPr="00296F5D" w14:paraId="49DC2B4A"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2DC77ED2"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4</w:t>
            </w:r>
          </w:p>
        </w:tc>
        <w:tc>
          <w:tcPr>
            <w:tcW w:w="1669" w:type="pct"/>
            <w:tcBorders>
              <w:top w:val="nil"/>
              <w:left w:val="nil"/>
              <w:bottom w:val="single" w:sz="4" w:space="0" w:color="auto"/>
              <w:right w:val="single" w:sz="4" w:space="0" w:color="auto"/>
            </w:tcBorders>
            <w:shd w:val="clear" w:color="000000" w:fill="FFFFFF"/>
            <w:noWrap/>
            <w:vAlign w:val="bottom"/>
            <w:hideMark/>
          </w:tcPr>
          <w:p w14:paraId="5959023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Gestión de existencias</w:t>
            </w:r>
          </w:p>
        </w:tc>
        <w:tc>
          <w:tcPr>
            <w:tcW w:w="223" w:type="pct"/>
            <w:tcBorders>
              <w:top w:val="nil"/>
              <w:left w:val="nil"/>
              <w:bottom w:val="single" w:sz="4" w:space="0" w:color="auto"/>
              <w:right w:val="single" w:sz="4" w:space="0" w:color="auto"/>
            </w:tcBorders>
            <w:shd w:val="clear" w:color="000000" w:fill="FFFFFF"/>
            <w:noWrap/>
            <w:vAlign w:val="bottom"/>
            <w:hideMark/>
          </w:tcPr>
          <w:p w14:paraId="46B8216C"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20E713B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BEC0109"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07F0A0E5"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355936E0"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3A9B065E"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68501991"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63F1AC36"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496879F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481BFD94"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74DBF27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34F218C0"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46AC3CE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58A9BB91"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028D8C5C"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B4E615E"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58FA129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0CA8FC1A" w14:textId="77777777" w:rsidR="00296F5D" w:rsidRPr="00296F5D" w:rsidRDefault="00296F5D" w:rsidP="0087454C">
            <w:pPr>
              <w:rPr>
                <w:rFonts w:cs="Calibri"/>
                <w:color w:val="000000"/>
                <w:sz w:val="20"/>
                <w:szCs w:val="20"/>
              </w:rPr>
            </w:pPr>
            <w:r w:rsidRPr="00296F5D">
              <w:rPr>
                <w:rFonts w:cs="Calibri"/>
                <w:color w:val="000000"/>
                <w:sz w:val="20"/>
                <w:szCs w:val="20"/>
              </w:rPr>
              <w:t> </w:t>
            </w:r>
          </w:p>
        </w:tc>
      </w:tr>
      <w:tr w:rsidR="00296F5D" w:rsidRPr="00296F5D" w14:paraId="2DF4198D"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1E75986A"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5</w:t>
            </w:r>
          </w:p>
        </w:tc>
        <w:tc>
          <w:tcPr>
            <w:tcW w:w="1669" w:type="pct"/>
            <w:tcBorders>
              <w:top w:val="nil"/>
              <w:left w:val="nil"/>
              <w:bottom w:val="single" w:sz="4" w:space="0" w:color="auto"/>
              <w:right w:val="single" w:sz="4" w:space="0" w:color="auto"/>
            </w:tcBorders>
            <w:shd w:val="clear" w:color="000000" w:fill="FFFFFF"/>
            <w:noWrap/>
            <w:vAlign w:val="bottom"/>
            <w:hideMark/>
          </w:tcPr>
          <w:p w14:paraId="2064EEE1"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Gestión de adquisiciones</w:t>
            </w:r>
          </w:p>
        </w:tc>
        <w:tc>
          <w:tcPr>
            <w:tcW w:w="223" w:type="pct"/>
            <w:tcBorders>
              <w:top w:val="nil"/>
              <w:left w:val="nil"/>
              <w:bottom w:val="single" w:sz="4" w:space="0" w:color="auto"/>
              <w:right w:val="single" w:sz="4" w:space="0" w:color="auto"/>
            </w:tcBorders>
            <w:shd w:val="clear" w:color="000000" w:fill="FFFFFF"/>
            <w:noWrap/>
            <w:vAlign w:val="bottom"/>
            <w:hideMark/>
          </w:tcPr>
          <w:p w14:paraId="5B2CF571"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66D0E9B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7A3AA89"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5CD2306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06987362"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218F2968"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0C34341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49BFA190"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57A5DC2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10FC22B5"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33CC3F5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3DA7A2CF"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631DB8BD"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064506D3"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2123902A"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6C5E67FB"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7CC80862" w14:textId="77777777" w:rsidR="00296F5D" w:rsidRPr="00296F5D" w:rsidRDefault="00296F5D" w:rsidP="0087454C">
            <w:pPr>
              <w:rPr>
                <w:rFonts w:cs="Calibri"/>
                <w:color w:val="000000"/>
                <w:sz w:val="20"/>
                <w:szCs w:val="20"/>
              </w:rPr>
            </w:pPr>
            <w:r w:rsidRPr="00296F5D">
              <w:rPr>
                <w:rFonts w:cs="Calibri"/>
                <w:color w:val="000000"/>
                <w:sz w:val="20"/>
                <w:szCs w:val="20"/>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0F68FB7" w14:textId="77777777" w:rsidR="00296F5D" w:rsidRPr="00296F5D" w:rsidRDefault="00296F5D" w:rsidP="0087454C">
            <w:pPr>
              <w:rPr>
                <w:rFonts w:cs="Calibri"/>
                <w:color w:val="000000"/>
                <w:sz w:val="20"/>
                <w:szCs w:val="20"/>
              </w:rPr>
            </w:pPr>
            <w:r w:rsidRPr="00296F5D">
              <w:rPr>
                <w:rFonts w:cs="Calibri"/>
                <w:color w:val="000000"/>
                <w:sz w:val="20"/>
                <w:szCs w:val="20"/>
              </w:rPr>
              <w:t> </w:t>
            </w:r>
          </w:p>
        </w:tc>
      </w:tr>
      <w:tr w:rsidR="00296F5D" w:rsidRPr="00FC0297" w14:paraId="733E533C"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0885074C"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6</w:t>
            </w:r>
          </w:p>
        </w:tc>
        <w:tc>
          <w:tcPr>
            <w:tcW w:w="1669" w:type="pct"/>
            <w:tcBorders>
              <w:top w:val="nil"/>
              <w:left w:val="nil"/>
              <w:bottom w:val="single" w:sz="4" w:space="0" w:color="auto"/>
              <w:right w:val="single" w:sz="4" w:space="0" w:color="auto"/>
            </w:tcBorders>
            <w:shd w:val="clear" w:color="000000" w:fill="FFFFFF"/>
            <w:noWrap/>
            <w:vAlign w:val="bottom"/>
            <w:hideMark/>
          </w:tcPr>
          <w:p w14:paraId="7275B69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xml:space="preserve">Conformidad con el acuerdo de subvención y la ley aplicable </w:t>
            </w:r>
          </w:p>
        </w:tc>
        <w:tc>
          <w:tcPr>
            <w:tcW w:w="223" w:type="pct"/>
            <w:tcBorders>
              <w:top w:val="nil"/>
              <w:left w:val="nil"/>
              <w:bottom w:val="single" w:sz="4" w:space="0" w:color="auto"/>
              <w:right w:val="single" w:sz="4" w:space="0" w:color="auto"/>
            </w:tcBorders>
            <w:shd w:val="clear" w:color="000000" w:fill="FFFFFF"/>
            <w:noWrap/>
            <w:vAlign w:val="bottom"/>
            <w:hideMark/>
          </w:tcPr>
          <w:p w14:paraId="28EB943B"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70A26430"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0EA6D97"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5C7AFFE9"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75B8877A"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43323A7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78FAF89E"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4F20C779"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37915363"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5D38BC0E"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64933CA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7F8B9FA5"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2A78853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6C9C3838"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4025ABF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043D544"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455948B3"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0D46E14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r>
      <w:tr w:rsidR="00296F5D" w:rsidRPr="00FC0297" w14:paraId="37F7D831" w14:textId="77777777" w:rsidTr="00296F5D">
        <w:trPr>
          <w:trHeight w:val="300"/>
          <w:jc w:val="center"/>
        </w:trPr>
        <w:tc>
          <w:tcPr>
            <w:tcW w:w="113" w:type="pct"/>
            <w:tcBorders>
              <w:top w:val="nil"/>
              <w:left w:val="single" w:sz="4" w:space="0" w:color="auto"/>
              <w:bottom w:val="single" w:sz="4" w:space="0" w:color="auto"/>
              <w:right w:val="single" w:sz="4" w:space="0" w:color="auto"/>
            </w:tcBorders>
            <w:shd w:val="clear" w:color="000000" w:fill="FFFFFF"/>
            <w:vAlign w:val="center"/>
            <w:hideMark/>
          </w:tcPr>
          <w:p w14:paraId="390C2633" w14:textId="77777777" w:rsidR="00296F5D" w:rsidRPr="00296F5D" w:rsidRDefault="00296F5D" w:rsidP="0087454C">
            <w:pPr>
              <w:jc w:val="center"/>
              <w:rPr>
                <w:rFonts w:cs="Calibri"/>
                <w:b/>
                <w:bCs/>
                <w:color w:val="000000"/>
                <w:sz w:val="20"/>
                <w:szCs w:val="20"/>
              </w:rPr>
            </w:pPr>
            <w:r w:rsidRPr="00296F5D">
              <w:rPr>
                <w:rFonts w:cs="Calibri"/>
                <w:b/>
                <w:bCs/>
                <w:color w:val="000000"/>
                <w:sz w:val="20"/>
                <w:szCs w:val="20"/>
              </w:rPr>
              <w:t>7</w:t>
            </w:r>
          </w:p>
        </w:tc>
        <w:tc>
          <w:tcPr>
            <w:tcW w:w="1669" w:type="pct"/>
            <w:tcBorders>
              <w:top w:val="nil"/>
              <w:left w:val="nil"/>
              <w:bottom w:val="single" w:sz="4" w:space="0" w:color="auto"/>
              <w:right w:val="single" w:sz="4" w:space="0" w:color="auto"/>
            </w:tcBorders>
            <w:shd w:val="clear" w:color="000000" w:fill="FFFFFF"/>
            <w:noWrap/>
            <w:vAlign w:val="bottom"/>
            <w:hideMark/>
          </w:tcPr>
          <w:p w14:paraId="222240AE"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Seguimiento del informe de auditoría previo</w:t>
            </w:r>
          </w:p>
        </w:tc>
        <w:tc>
          <w:tcPr>
            <w:tcW w:w="223" w:type="pct"/>
            <w:tcBorders>
              <w:top w:val="nil"/>
              <w:left w:val="nil"/>
              <w:bottom w:val="single" w:sz="4" w:space="0" w:color="auto"/>
              <w:right w:val="single" w:sz="4" w:space="0" w:color="auto"/>
            </w:tcBorders>
            <w:shd w:val="clear" w:color="000000" w:fill="FFFFFF"/>
            <w:noWrap/>
            <w:vAlign w:val="bottom"/>
            <w:hideMark/>
          </w:tcPr>
          <w:p w14:paraId="171817F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92" w:type="pct"/>
            <w:tcBorders>
              <w:top w:val="nil"/>
              <w:left w:val="nil"/>
              <w:bottom w:val="single" w:sz="4" w:space="0" w:color="auto"/>
              <w:right w:val="single" w:sz="4" w:space="0" w:color="auto"/>
            </w:tcBorders>
            <w:shd w:val="clear" w:color="000000" w:fill="FFFFFF"/>
            <w:noWrap/>
            <w:vAlign w:val="bottom"/>
            <w:hideMark/>
          </w:tcPr>
          <w:p w14:paraId="125D61B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37B49CE"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4" w:type="pct"/>
            <w:tcBorders>
              <w:top w:val="nil"/>
              <w:left w:val="nil"/>
              <w:bottom w:val="single" w:sz="4" w:space="0" w:color="auto"/>
              <w:right w:val="single" w:sz="4" w:space="0" w:color="auto"/>
            </w:tcBorders>
            <w:shd w:val="clear" w:color="000000" w:fill="FFFFFF"/>
            <w:noWrap/>
            <w:vAlign w:val="bottom"/>
            <w:hideMark/>
          </w:tcPr>
          <w:p w14:paraId="4BCB3BE0"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4EC4EA9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7369C554"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7" w:type="pct"/>
            <w:tcBorders>
              <w:top w:val="nil"/>
              <w:left w:val="nil"/>
              <w:bottom w:val="single" w:sz="4" w:space="0" w:color="auto"/>
              <w:right w:val="single" w:sz="4" w:space="0" w:color="auto"/>
            </w:tcBorders>
            <w:shd w:val="clear" w:color="000000" w:fill="FFFFFF"/>
            <w:noWrap/>
            <w:vAlign w:val="bottom"/>
            <w:hideMark/>
          </w:tcPr>
          <w:p w14:paraId="3BC4131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6C1E1314"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72" w:type="pct"/>
            <w:tcBorders>
              <w:top w:val="nil"/>
              <w:left w:val="nil"/>
              <w:bottom w:val="single" w:sz="4" w:space="0" w:color="auto"/>
              <w:right w:val="single" w:sz="4" w:space="0" w:color="auto"/>
            </w:tcBorders>
            <w:shd w:val="clear" w:color="000000" w:fill="FFFFFF"/>
            <w:noWrap/>
            <w:vAlign w:val="bottom"/>
            <w:hideMark/>
          </w:tcPr>
          <w:p w14:paraId="58CED469"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0" w:type="pct"/>
            <w:tcBorders>
              <w:top w:val="nil"/>
              <w:left w:val="nil"/>
              <w:bottom w:val="single" w:sz="4" w:space="0" w:color="auto"/>
              <w:right w:val="single" w:sz="4" w:space="0" w:color="auto"/>
            </w:tcBorders>
            <w:shd w:val="clear" w:color="000000" w:fill="FFFFFF"/>
            <w:noWrap/>
            <w:vAlign w:val="bottom"/>
            <w:hideMark/>
          </w:tcPr>
          <w:p w14:paraId="11B79A96"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58" w:type="pct"/>
            <w:tcBorders>
              <w:top w:val="nil"/>
              <w:left w:val="nil"/>
              <w:bottom w:val="single" w:sz="4" w:space="0" w:color="auto"/>
              <w:right w:val="single" w:sz="4" w:space="0" w:color="auto"/>
            </w:tcBorders>
            <w:shd w:val="clear" w:color="000000" w:fill="FFFFFF"/>
            <w:noWrap/>
            <w:vAlign w:val="bottom"/>
            <w:hideMark/>
          </w:tcPr>
          <w:p w14:paraId="4BB2292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0CE2CEDD"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83" w:type="pct"/>
            <w:tcBorders>
              <w:top w:val="nil"/>
              <w:left w:val="nil"/>
              <w:bottom w:val="single" w:sz="4" w:space="0" w:color="auto"/>
              <w:right w:val="single" w:sz="4" w:space="0" w:color="auto"/>
            </w:tcBorders>
            <w:shd w:val="clear" w:color="000000" w:fill="FFFFFF"/>
            <w:noWrap/>
            <w:vAlign w:val="bottom"/>
            <w:hideMark/>
          </w:tcPr>
          <w:p w14:paraId="74269F24"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51" w:type="pct"/>
            <w:tcBorders>
              <w:top w:val="nil"/>
              <w:left w:val="nil"/>
              <w:bottom w:val="single" w:sz="4" w:space="0" w:color="auto"/>
              <w:right w:val="single" w:sz="4" w:space="0" w:color="auto"/>
            </w:tcBorders>
            <w:shd w:val="clear" w:color="000000" w:fill="FFFFFF"/>
            <w:noWrap/>
            <w:vAlign w:val="bottom"/>
            <w:hideMark/>
          </w:tcPr>
          <w:p w14:paraId="08B42463"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5" w:type="pct"/>
            <w:tcBorders>
              <w:top w:val="nil"/>
              <w:left w:val="nil"/>
              <w:bottom w:val="single" w:sz="4" w:space="0" w:color="auto"/>
              <w:right w:val="single" w:sz="4" w:space="0" w:color="auto"/>
            </w:tcBorders>
            <w:shd w:val="clear" w:color="000000" w:fill="FFFFFF"/>
            <w:noWrap/>
            <w:vAlign w:val="bottom"/>
            <w:hideMark/>
          </w:tcPr>
          <w:p w14:paraId="01E4AAA2"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3C72B2F6"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1748645C"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F3ED17F" w14:textId="77777777" w:rsidR="00296F5D" w:rsidRPr="00296F5D" w:rsidRDefault="00296F5D" w:rsidP="0087454C">
            <w:pPr>
              <w:rPr>
                <w:rFonts w:cs="Calibri"/>
                <w:color w:val="000000"/>
                <w:sz w:val="20"/>
                <w:szCs w:val="20"/>
                <w:lang w:val="es-ES_tradnl"/>
              </w:rPr>
            </w:pPr>
            <w:r w:rsidRPr="00296F5D">
              <w:rPr>
                <w:rFonts w:cs="Calibri"/>
                <w:color w:val="000000"/>
                <w:sz w:val="20"/>
                <w:szCs w:val="20"/>
                <w:lang w:val="es-ES_tradnl"/>
              </w:rPr>
              <w:t> </w:t>
            </w:r>
          </w:p>
        </w:tc>
      </w:tr>
    </w:tbl>
    <w:p w14:paraId="3A2DAE96" w14:textId="77777777" w:rsidR="00296F5D" w:rsidRPr="00296F5D" w:rsidRDefault="00296F5D" w:rsidP="00EA0232">
      <w:pPr>
        <w:rPr>
          <w:rFonts w:eastAsia="MS Gothic"/>
          <w:bCs/>
          <w:noProof/>
          <w:color w:val="7F7F7F"/>
          <w:szCs w:val="22"/>
          <w:lang w:val="es-NI" w:eastAsia="en-US"/>
        </w:rPr>
      </w:pPr>
    </w:p>
    <w:p w14:paraId="058F81B8" w14:textId="77777777" w:rsidR="00EA0232" w:rsidRPr="00D16DDF" w:rsidRDefault="00EA0232" w:rsidP="00485CE3">
      <w:pPr>
        <w:tabs>
          <w:tab w:val="left" w:pos="3660"/>
        </w:tabs>
        <w:ind w:left="284"/>
        <w:jc w:val="both"/>
        <w:rPr>
          <w:rFonts w:eastAsia="MS Mincho"/>
          <w:noProof/>
          <w:szCs w:val="22"/>
          <w:lang w:val="es-ES_tradnl" w:eastAsia="en-US"/>
        </w:rPr>
      </w:pPr>
    </w:p>
    <w:p w14:paraId="6D701F6C" w14:textId="77777777" w:rsidR="00666282" w:rsidRDefault="00666282" w:rsidP="00362D53">
      <w:pPr>
        <w:pStyle w:val="ListParagraph"/>
        <w:spacing w:before="120" w:after="160"/>
        <w:ind w:left="720"/>
        <w:jc w:val="both"/>
        <w:rPr>
          <w:snapToGrid w:val="0"/>
          <w:lang w:val="es-ES" w:eastAsia="es-ES"/>
        </w:rPr>
      </w:pPr>
    </w:p>
    <w:p w14:paraId="01725931" w14:textId="77777777" w:rsidR="002E6843" w:rsidRDefault="002E6843" w:rsidP="00362D53">
      <w:pPr>
        <w:pStyle w:val="ListParagraph"/>
        <w:spacing w:before="120" w:after="160"/>
        <w:ind w:left="720"/>
        <w:jc w:val="both"/>
        <w:rPr>
          <w:snapToGrid w:val="0"/>
          <w:lang w:val="es-ES" w:eastAsia="es-ES"/>
        </w:rPr>
      </w:pPr>
    </w:p>
    <w:p w14:paraId="1AD45018" w14:textId="77777777" w:rsidR="002E6843" w:rsidRDefault="002E6843" w:rsidP="00362D53">
      <w:pPr>
        <w:pStyle w:val="ListParagraph"/>
        <w:spacing w:before="120" w:after="160"/>
        <w:ind w:left="720"/>
        <w:jc w:val="both"/>
        <w:rPr>
          <w:snapToGrid w:val="0"/>
          <w:lang w:val="es-ES" w:eastAsia="es-ES"/>
        </w:rPr>
      </w:pPr>
    </w:p>
    <w:p w14:paraId="5E117166" w14:textId="77777777" w:rsidR="002E6843" w:rsidRDefault="002E6843" w:rsidP="00362D53">
      <w:pPr>
        <w:pStyle w:val="ListParagraph"/>
        <w:spacing w:before="120" w:after="160"/>
        <w:ind w:left="720"/>
        <w:jc w:val="both"/>
        <w:rPr>
          <w:snapToGrid w:val="0"/>
          <w:lang w:val="es-ES" w:eastAsia="es-ES"/>
        </w:rPr>
      </w:pPr>
    </w:p>
    <w:p w14:paraId="5E3842BD" w14:textId="77777777" w:rsidR="002E6843" w:rsidRDefault="002E6843" w:rsidP="00362D53">
      <w:pPr>
        <w:pStyle w:val="ListParagraph"/>
        <w:spacing w:before="120" w:after="160"/>
        <w:ind w:left="720"/>
        <w:jc w:val="both"/>
        <w:rPr>
          <w:snapToGrid w:val="0"/>
          <w:lang w:val="es-ES" w:eastAsia="es-ES"/>
        </w:rPr>
      </w:pPr>
    </w:p>
    <w:p w14:paraId="2F652560" w14:textId="77777777" w:rsidR="002E6843" w:rsidRDefault="002E6843" w:rsidP="00362D53">
      <w:pPr>
        <w:pStyle w:val="ListParagraph"/>
        <w:spacing w:before="120" w:after="160"/>
        <w:ind w:left="720"/>
        <w:jc w:val="both"/>
        <w:rPr>
          <w:snapToGrid w:val="0"/>
          <w:lang w:val="es-ES" w:eastAsia="es-ES"/>
        </w:rPr>
        <w:sectPr w:rsidR="002E6843" w:rsidSect="00103CB1">
          <w:pgSz w:w="16838" w:h="11906" w:orient="landscape"/>
          <w:pgMar w:top="1077" w:right="851" w:bottom="1077" w:left="1247" w:header="709" w:footer="709" w:gutter="0"/>
          <w:cols w:space="708"/>
          <w:docGrid w:linePitch="360"/>
        </w:sectPr>
      </w:pPr>
    </w:p>
    <w:p w14:paraId="5657B01C" w14:textId="77777777" w:rsidR="00B54E93" w:rsidRPr="00ED2473" w:rsidRDefault="00B54E93" w:rsidP="00103CB1">
      <w:pPr>
        <w:pStyle w:val="Heading1"/>
        <w:numPr>
          <w:ilvl w:val="0"/>
          <w:numId w:val="39"/>
        </w:numPr>
        <w:rPr>
          <w:snapToGrid w:val="0"/>
          <w:color w:val="auto"/>
          <w:lang w:val="es-ES_tradnl" w:eastAsia="es-ES"/>
        </w:rPr>
      </w:pPr>
      <w:bookmarkStart w:id="271" w:name="_Toc109287590"/>
      <w:r w:rsidRPr="00ED2473">
        <w:rPr>
          <w:snapToGrid w:val="0"/>
          <w:color w:val="auto"/>
          <w:lang w:val="es-ES_tradnl" w:eastAsia="es-ES"/>
        </w:rPr>
        <w:t>Directrices generales para la carta de gestión.</w:t>
      </w:r>
      <w:bookmarkEnd w:id="271"/>
      <w:r w:rsidRPr="00ED2473">
        <w:rPr>
          <w:snapToGrid w:val="0"/>
          <w:color w:val="auto"/>
          <w:lang w:val="es-ES_tradnl" w:eastAsia="es-ES"/>
        </w:rPr>
        <w:t xml:space="preserve"> </w:t>
      </w:r>
    </w:p>
    <w:p w14:paraId="7D0C1303" w14:textId="77777777" w:rsidR="00103CB1" w:rsidRDefault="00103CB1" w:rsidP="00103CB1">
      <w:pPr>
        <w:widowControl w:val="0"/>
        <w:spacing w:after="120"/>
        <w:jc w:val="both"/>
        <w:rPr>
          <w:rFonts w:cs="Arial"/>
          <w:b/>
          <w:snapToGrid w:val="0"/>
          <w:sz w:val="24"/>
          <w:lang w:val="es-ES_tradnl" w:eastAsia="es-ES"/>
        </w:rPr>
      </w:pPr>
    </w:p>
    <w:p w14:paraId="5342490F" w14:textId="77777777" w:rsidR="00473A5E" w:rsidRPr="00103CB1" w:rsidRDefault="00473A5E" w:rsidP="00103CB1">
      <w:pPr>
        <w:widowControl w:val="0"/>
        <w:spacing w:after="120"/>
        <w:jc w:val="both"/>
        <w:rPr>
          <w:rFonts w:cs="Arial"/>
          <w:b/>
          <w:snapToGrid w:val="0"/>
          <w:sz w:val="24"/>
          <w:lang w:val="es-ES_tradnl" w:eastAsia="es-ES"/>
        </w:rPr>
      </w:pPr>
      <w:r w:rsidRPr="00103CB1">
        <w:rPr>
          <w:rFonts w:cs="Arial"/>
          <w:b/>
          <w:snapToGrid w:val="0"/>
          <w:sz w:val="24"/>
          <w:lang w:val="es-ES_tradnl" w:eastAsia="es-ES"/>
        </w:rPr>
        <w:t>Condiciones y requisitos a cumplir por el auditor</w:t>
      </w:r>
    </w:p>
    <w:p w14:paraId="30F99EBD" w14:textId="77777777" w:rsidR="004A14F2" w:rsidRPr="00103CB1" w:rsidRDefault="004A14F2" w:rsidP="00103CB1">
      <w:pPr>
        <w:pStyle w:val="ListParagraph"/>
        <w:numPr>
          <w:ilvl w:val="0"/>
          <w:numId w:val="4"/>
        </w:numPr>
        <w:spacing w:after="120"/>
        <w:ind w:left="426" w:right="-35"/>
        <w:jc w:val="both"/>
        <w:rPr>
          <w:sz w:val="24"/>
          <w:lang w:val="es-AR"/>
        </w:rPr>
      </w:pPr>
      <w:r w:rsidRPr="00103CB1">
        <w:rPr>
          <w:sz w:val="24"/>
          <w:lang w:val="es-AR"/>
        </w:rPr>
        <w:t>El Auditor tiene que ser</w:t>
      </w:r>
      <w:r w:rsidR="00E1084F" w:rsidRPr="00103CB1">
        <w:rPr>
          <w:sz w:val="24"/>
          <w:lang w:val="es-AR"/>
        </w:rPr>
        <w:t xml:space="preserve"> imparcial de </w:t>
      </w:r>
      <w:r w:rsidR="006B74A7" w:rsidRPr="00103CB1">
        <w:rPr>
          <w:sz w:val="24"/>
          <w:lang w:val="es-AR"/>
        </w:rPr>
        <w:t>manera completa, absoluta, independiente y ajena</w:t>
      </w:r>
      <w:r w:rsidRPr="00103CB1">
        <w:rPr>
          <w:sz w:val="24"/>
          <w:lang w:val="es-AR"/>
        </w:rPr>
        <w:t xml:space="preserve"> a todos los aspectos de la gestión o a los intereses financieros tanto del Receptor Principal como de los </w:t>
      </w:r>
      <w:r w:rsidR="00391840" w:rsidRPr="00103CB1">
        <w:rPr>
          <w:sz w:val="24"/>
          <w:lang w:val="es-AR"/>
        </w:rPr>
        <w:t>Subreceptores</w:t>
      </w:r>
      <w:r w:rsidRPr="00103CB1">
        <w:rPr>
          <w:sz w:val="24"/>
          <w:lang w:val="es-AR"/>
        </w:rPr>
        <w:t xml:space="preserve">. </w:t>
      </w:r>
    </w:p>
    <w:p w14:paraId="734B8DC7" w14:textId="77777777" w:rsidR="004A14F2" w:rsidRPr="00103CB1" w:rsidRDefault="004A14F2" w:rsidP="00103CB1">
      <w:pPr>
        <w:pStyle w:val="ListParagraph"/>
        <w:numPr>
          <w:ilvl w:val="0"/>
          <w:numId w:val="4"/>
        </w:numPr>
        <w:spacing w:after="120"/>
        <w:ind w:left="426" w:right="-35"/>
        <w:jc w:val="both"/>
        <w:rPr>
          <w:sz w:val="24"/>
          <w:lang w:val="es-AR"/>
        </w:rPr>
      </w:pPr>
      <w:r w:rsidRPr="00103CB1">
        <w:rPr>
          <w:sz w:val="24"/>
          <w:lang w:val="es-AR"/>
        </w:rPr>
        <w:t xml:space="preserve">Durante el período que comprende la auditoría, los miembros del equipo auditor no deben desempeñarse como empleados, actuar en carácter de director, o mantener relaciones comerciales, empresariales y financieras estrechas con ningún directivo o funcionario hasta el tercer nivel de las organizaciones antes indicadas. </w:t>
      </w:r>
    </w:p>
    <w:p w14:paraId="348AF252" w14:textId="77777777" w:rsidR="004A14F2" w:rsidRPr="00103CB1" w:rsidRDefault="004A14F2" w:rsidP="00103CB1">
      <w:pPr>
        <w:pStyle w:val="ListParagraph"/>
        <w:numPr>
          <w:ilvl w:val="0"/>
          <w:numId w:val="4"/>
        </w:numPr>
        <w:spacing w:after="120"/>
        <w:ind w:left="426" w:right="-35"/>
        <w:jc w:val="both"/>
        <w:rPr>
          <w:sz w:val="24"/>
          <w:lang w:val="es-AR"/>
        </w:rPr>
      </w:pPr>
      <w:r w:rsidRPr="00103CB1">
        <w:rPr>
          <w:sz w:val="24"/>
          <w:lang w:val="es-AR"/>
        </w:rPr>
        <w:t xml:space="preserve">El auditor tiene conocimiento de la existencia de normatividad que establece la independencia de su actividad, que lo obliga a revelar cualquier relación que pudiera comprometer su independencia. </w:t>
      </w:r>
    </w:p>
    <w:p w14:paraId="517F0456" w14:textId="77777777" w:rsidR="004A14F2" w:rsidRPr="00103CB1" w:rsidRDefault="004A14F2" w:rsidP="00103CB1">
      <w:pPr>
        <w:pStyle w:val="ListParagraph"/>
        <w:numPr>
          <w:ilvl w:val="0"/>
          <w:numId w:val="4"/>
        </w:numPr>
        <w:spacing w:after="120"/>
        <w:ind w:left="426" w:right="-35"/>
        <w:jc w:val="both"/>
        <w:rPr>
          <w:sz w:val="24"/>
          <w:lang w:val="es-AR"/>
        </w:rPr>
      </w:pPr>
      <w:r w:rsidRPr="00103CB1">
        <w:rPr>
          <w:sz w:val="24"/>
          <w:lang w:val="es-AR"/>
        </w:rPr>
        <w:t xml:space="preserve">El auditor debe tener experiencia en la aplicación de las normas de contabilidad que se aplicarán a esta auditoría, debe emplear personal suficiente con la preparación profesional apropiada y la experiencia adecuada en materia de las normas a aplicar, lo que incluye experiencia en la auditoría de cuentas de entidades y proyectos equiparables en tamaño y complejidad con el que debe auditarse. </w:t>
      </w:r>
    </w:p>
    <w:p w14:paraId="10D63B33" w14:textId="77777777" w:rsidR="004A14F2" w:rsidRPr="00103CB1" w:rsidRDefault="004A14F2" w:rsidP="00103CB1">
      <w:pPr>
        <w:pStyle w:val="ListParagraph"/>
        <w:numPr>
          <w:ilvl w:val="0"/>
          <w:numId w:val="4"/>
        </w:numPr>
        <w:spacing w:after="120"/>
        <w:ind w:left="426" w:right="-35"/>
        <w:jc w:val="both"/>
        <w:rPr>
          <w:sz w:val="24"/>
          <w:lang w:val="es-AR"/>
        </w:rPr>
      </w:pPr>
      <w:r w:rsidRPr="00103CB1">
        <w:rPr>
          <w:sz w:val="24"/>
          <w:lang w:val="es-AR"/>
        </w:rPr>
        <w:t xml:space="preserve">Estas exigencias rigen para todos aquellos profesionales que intervendrán como equipo para realizar la auditoría. </w:t>
      </w:r>
    </w:p>
    <w:p w14:paraId="05A9D2D8" w14:textId="77777777" w:rsidR="003072DA" w:rsidRPr="00103CB1" w:rsidRDefault="00855CD4" w:rsidP="00103CB1">
      <w:pPr>
        <w:pStyle w:val="ListParagraph"/>
        <w:numPr>
          <w:ilvl w:val="0"/>
          <w:numId w:val="4"/>
        </w:numPr>
        <w:spacing w:after="120"/>
        <w:ind w:left="426" w:right="-35"/>
        <w:jc w:val="both"/>
        <w:rPr>
          <w:sz w:val="24"/>
          <w:lang w:val="es-AR"/>
        </w:rPr>
      </w:pPr>
      <w:r w:rsidRPr="00103CB1">
        <w:rPr>
          <w:sz w:val="24"/>
          <w:lang w:val="es-AR"/>
        </w:rPr>
        <w:t xml:space="preserve">El auditor </w:t>
      </w:r>
      <w:r w:rsidR="003072DA" w:rsidRPr="00103CB1">
        <w:rPr>
          <w:sz w:val="24"/>
          <w:lang w:val="es-AR"/>
        </w:rPr>
        <w:t xml:space="preserve">debe entregar una garantía de cumplimiento, conforme los procedimientos de contratos establecidos por la </w:t>
      </w:r>
      <w:r w:rsidR="000C675A" w:rsidRPr="00103CB1">
        <w:rPr>
          <w:sz w:val="24"/>
          <w:lang w:val="es-AR"/>
        </w:rPr>
        <w:t>Federación</w:t>
      </w:r>
      <w:r w:rsidR="003115F3" w:rsidRPr="00103CB1">
        <w:rPr>
          <w:sz w:val="24"/>
          <w:lang w:val="es-AR"/>
        </w:rPr>
        <w:t xml:space="preserve"> Red NicaSalud</w:t>
      </w:r>
      <w:r w:rsidR="003072DA" w:rsidRPr="00103CB1">
        <w:rPr>
          <w:sz w:val="24"/>
          <w:lang w:val="es-AR"/>
        </w:rPr>
        <w:t>.</w:t>
      </w:r>
    </w:p>
    <w:p w14:paraId="5F0A6E9A" w14:textId="77777777" w:rsidR="0007641E" w:rsidRPr="00103CB1" w:rsidRDefault="0007641E" w:rsidP="00103CB1">
      <w:pPr>
        <w:pStyle w:val="ListParagraph"/>
        <w:numPr>
          <w:ilvl w:val="0"/>
          <w:numId w:val="4"/>
        </w:numPr>
        <w:spacing w:after="120"/>
        <w:ind w:left="426" w:right="-35"/>
        <w:jc w:val="both"/>
        <w:rPr>
          <w:sz w:val="24"/>
          <w:lang w:val="es-AR"/>
        </w:rPr>
      </w:pPr>
      <w:r w:rsidRPr="00103CB1">
        <w:rPr>
          <w:sz w:val="24"/>
          <w:lang w:val="es-AR"/>
        </w:rPr>
        <w:t xml:space="preserve">Las reglas de auditorías se aplican según las guías de auditoria del Fondo Mundial </w:t>
      </w:r>
    </w:p>
    <w:p w14:paraId="2E41E463" w14:textId="77777777" w:rsidR="00847388" w:rsidRPr="00103CB1" w:rsidRDefault="00847388" w:rsidP="00103CB1">
      <w:pPr>
        <w:pStyle w:val="ListParagraph"/>
        <w:numPr>
          <w:ilvl w:val="0"/>
          <w:numId w:val="4"/>
        </w:numPr>
        <w:spacing w:after="120"/>
        <w:ind w:left="426" w:right="-35"/>
        <w:jc w:val="both"/>
        <w:rPr>
          <w:sz w:val="24"/>
          <w:lang w:val="es-AR"/>
        </w:rPr>
      </w:pPr>
      <w:r w:rsidRPr="00103CB1">
        <w:rPr>
          <w:sz w:val="24"/>
          <w:lang w:val="es-AR"/>
        </w:rPr>
        <w:t xml:space="preserve">En caso que el trabajo no se </w:t>
      </w:r>
      <w:r w:rsidR="00DA2364" w:rsidRPr="00103CB1">
        <w:rPr>
          <w:sz w:val="24"/>
          <w:lang w:val="es-AR"/>
        </w:rPr>
        <w:t>considere adecuado la</w:t>
      </w:r>
      <w:r w:rsidRPr="00103CB1">
        <w:rPr>
          <w:sz w:val="24"/>
          <w:lang w:val="es-AR"/>
        </w:rPr>
        <w:t xml:space="preserve"> cancelación del </w:t>
      </w:r>
      <w:r w:rsidR="00DA2364" w:rsidRPr="00103CB1">
        <w:rPr>
          <w:sz w:val="24"/>
          <w:lang w:val="es-AR"/>
        </w:rPr>
        <w:t>contrato puede</w:t>
      </w:r>
      <w:r w:rsidRPr="00103CB1">
        <w:rPr>
          <w:sz w:val="24"/>
          <w:lang w:val="es-AR"/>
        </w:rPr>
        <w:t xml:space="preserve"> se</w:t>
      </w:r>
      <w:r w:rsidR="00B31709" w:rsidRPr="00103CB1">
        <w:rPr>
          <w:sz w:val="24"/>
          <w:lang w:val="es-AR"/>
        </w:rPr>
        <w:t>r</w:t>
      </w:r>
      <w:r w:rsidRPr="00103CB1">
        <w:rPr>
          <w:sz w:val="24"/>
          <w:lang w:val="es-AR"/>
        </w:rPr>
        <w:t xml:space="preserve"> solicitada </w:t>
      </w:r>
      <w:r w:rsidR="00DA2364" w:rsidRPr="00103CB1">
        <w:rPr>
          <w:sz w:val="24"/>
          <w:lang w:val="es-AR"/>
        </w:rPr>
        <w:t>directamente por</w:t>
      </w:r>
      <w:r w:rsidRPr="00103CB1">
        <w:rPr>
          <w:sz w:val="24"/>
          <w:lang w:val="es-AR"/>
        </w:rPr>
        <w:t xml:space="preserve"> </w:t>
      </w:r>
      <w:r w:rsidR="00B31709" w:rsidRPr="00103CB1">
        <w:rPr>
          <w:sz w:val="24"/>
          <w:lang w:val="es-AR"/>
        </w:rPr>
        <w:t>E</w:t>
      </w:r>
      <w:r w:rsidRPr="00103CB1">
        <w:rPr>
          <w:sz w:val="24"/>
          <w:lang w:val="es-AR"/>
        </w:rPr>
        <w:t xml:space="preserve">l Fondo Mundial a </w:t>
      </w:r>
      <w:r w:rsidR="00DA2364" w:rsidRPr="00103CB1">
        <w:rPr>
          <w:sz w:val="24"/>
          <w:lang w:val="es-AR"/>
        </w:rPr>
        <w:t>través del</w:t>
      </w:r>
      <w:r w:rsidRPr="00103CB1">
        <w:rPr>
          <w:sz w:val="24"/>
          <w:lang w:val="es-AR"/>
        </w:rPr>
        <w:t xml:space="preserve"> RP o por el RP en consulta y con la aprobación del Fondo Mundial </w:t>
      </w:r>
    </w:p>
    <w:p w14:paraId="30E366A8" w14:textId="77777777" w:rsidR="004A14F2" w:rsidRPr="00103CB1" w:rsidRDefault="004A14F2" w:rsidP="00103CB1">
      <w:pPr>
        <w:pStyle w:val="ListParagraph"/>
        <w:numPr>
          <w:ilvl w:val="0"/>
          <w:numId w:val="4"/>
        </w:numPr>
        <w:spacing w:after="120"/>
        <w:ind w:left="426" w:right="-35"/>
        <w:jc w:val="both"/>
        <w:rPr>
          <w:sz w:val="24"/>
          <w:lang w:val="es-AR"/>
        </w:rPr>
      </w:pPr>
      <w:r w:rsidRPr="00103CB1">
        <w:rPr>
          <w:sz w:val="24"/>
          <w:lang w:val="es-AR"/>
        </w:rPr>
        <w:t xml:space="preserve">El auditor presentará para cada una de las instituciones en plazo contado a partir de la firma del contrato los siguientes documentos: </w:t>
      </w:r>
    </w:p>
    <w:p w14:paraId="1EE619D1" w14:textId="77777777" w:rsidR="004A14F2" w:rsidRPr="00103CB1" w:rsidRDefault="004A14F2" w:rsidP="00103CB1">
      <w:pPr>
        <w:numPr>
          <w:ilvl w:val="0"/>
          <w:numId w:val="18"/>
        </w:numPr>
        <w:spacing w:after="120"/>
        <w:ind w:left="1080" w:right="107"/>
        <w:jc w:val="both"/>
        <w:rPr>
          <w:sz w:val="24"/>
          <w:szCs w:val="22"/>
          <w:lang w:val="es-AR" w:eastAsia="en-GB"/>
        </w:rPr>
      </w:pPr>
      <w:r w:rsidRPr="00103CB1">
        <w:rPr>
          <w:sz w:val="24"/>
          <w:szCs w:val="22"/>
          <w:lang w:val="es-AR" w:eastAsia="en-GB"/>
        </w:rPr>
        <w:t xml:space="preserve">Plan de auditoría a los 05 días calendario. </w:t>
      </w:r>
    </w:p>
    <w:p w14:paraId="7C793825" w14:textId="77777777" w:rsidR="004A14F2" w:rsidRPr="00103CB1" w:rsidRDefault="004A14F2" w:rsidP="00103CB1">
      <w:pPr>
        <w:numPr>
          <w:ilvl w:val="0"/>
          <w:numId w:val="18"/>
        </w:numPr>
        <w:spacing w:after="120"/>
        <w:ind w:left="1080" w:right="107"/>
        <w:jc w:val="both"/>
        <w:rPr>
          <w:sz w:val="24"/>
          <w:szCs w:val="22"/>
          <w:lang w:val="es-AR" w:eastAsia="en-GB"/>
        </w:rPr>
      </w:pPr>
      <w:r w:rsidRPr="00103CB1">
        <w:rPr>
          <w:sz w:val="24"/>
          <w:szCs w:val="22"/>
          <w:lang w:val="es-AR" w:eastAsia="en-GB"/>
        </w:rPr>
        <w:t xml:space="preserve">Informe Preliminar a los 30 días calendario </w:t>
      </w:r>
    </w:p>
    <w:p w14:paraId="516BDFBF" w14:textId="77777777" w:rsidR="00F16489" w:rsidRPr="00103CB1" w:rsidRDefault="004A14F2" w:rsidP="00103CB1">
      <w:pPr>
        <w:numPr>
          <w:ilvl w:val="0"/>
          <w:numId w:val="18"/>
        </w:numPr>
        <w:spacing w:after="120"/>
        <w:ind w:left="1080" w:right="107"/>
        <w:jc w:val="both"/>
        <w:rPr>
          <w:sz w:val="24"/>
          <w:szCs w:val="22"/>
          <w:lang w:val="es-AR" w:eastAsia="en-GB"/>
        </w:rPr>
      </w:pPr>
      <w:r w:rsidRPr="00103CB1">
        <w:rPr>
          <w:sz w:val="24"/>
          <w:szCs w:val="22"/>
          <w:lang w:val="es-AR" w:eastAsia="en-GB"/>
        </w:rPr>
        <w:t xml:space="preserve">Informe Final a los 45 días calendario </w:t>
      </w:r>
    </w:p>
    <w:p w14:paraId="3273896A" w14:textId="77777777" w:rsidR="0057309B" w:rsidRPr="00103CB1" w:rsidRDefault="0057309B" w:rsidP="00103CB1">
      <w:pPr>
        <w:spacing w:after="120"/>
        <w:ind w:right="-35"/>
        <w:jc w:val="both"/>
        <w:rPr>
          <w:b/>
          <w:bCs/>
          <w:sz w:val="24"/>
          <w:szCs w:val="22"/>
          <w:lang w:val="es-AR"/>
        </w:rPr>
      </w:pPr>
    </w:p>
    <w:p w14:paraId="156B77FC" w14:textId="77777777" w:rsidR="004A14F2" w:rsidRPr="00103CB1" w:rsidRDefault="00ED2DC5" w:rsidP="00103CB1">
      <w:pPr>
        <w:pStyle w:val="ListParagraph"/>
        <w:numPr>
          <w:ilvl w:val="0"/>
          <w:numId w:val="3"/>
        </w:numPr>
        <w:spacing w:after="120"/>
        <w:ind w:right="-35"/>
        <w:jc w:val="both"/>
        <w:rPr>
          <w:b/>
          <w:bCs/>
          <w:sz w:val="24"/>
          <w:lang w:val="es-AR"/>
        </w:rPr>
      </w:pPr>
      <w:r w:rsidRPr="00103CB1">
        <w:rPr>
          <w:b/>
          <w:bCs/>
          <w:sz w:val="24"/>
          <w:lang w:val="es-AR"/>
        </w:rPr>
        <w:t>Forma de pago del Contrato de Servicios:</w:t>
      </w:r>
    </w:p>
    <w:p w14:paraId="56E6B52B" w14:textId="77777777" w:rsidR="00440840" w:rsidRPr="00103CB1" w:rsidRDefault="00440840" w:rsidP="00103CB1">
      <w:pPr>
        <w:spacing w:after="120"/>
        <w:ind w:right="-35"/>
        <w:jc w:val="both"/>
        <w:rPr>
          <w:sz w:val="24"/>
          <w:szCs w:val="22"/>
          <w:lang w:val="es-AR"/>
        </w:rPr>
      </w:pPr>
      <w:r w:rsidRPr="00103CB1">
        <w:rPr>
          <w:sz w:val="24"/>
          <w:szCs w:val="22"/>
          <w:lang w:val="es-AR"/>
        </w:rPr>
        <w:t xml:space="preserve">El pago de los honorarios se </w:t>
      </w:r>
      <w:r w:rsidR="004D6349" w:rsidRPr="00103CB1">
        <w:rPr>
          <w:sz w:val="24"/>
          <w:szCs w:val="22"/>
          <w:lang w:val="es-AR"/>
        </w:rPr>
        <w:t>efectuará</w:t>
      </w:r>
      <w:r w:rsidR="00DA2364" w:rsidRPr="00103CB1">
        <w:rPr>
          <w:sz w:val="24"/>
          <w:szCs w:val="22"/>
          <w:lang w:val="es-AR"/>
        </w:rPr>
        <w:t xml:space="preserve"> de</w:t>
      </w:r>
      <w:r w:rsidRPr="00103CB1">
        <w:rPr>
          <w:sz w:val="24"/>
          <w:szCs w:val="22"/>
          <w:lang w:val="es-AR"/>
        </w:rPr>
        <w:t xml:space="preserve"> la siguiente forma:  </w:t>
      </w:r>
    </w:p>
    <w:p w14:paraId="6BC11C6B" w14:textId="77777777" w:rsidR="00440840" w:rsidRPr="00103CB1" w:rsidRDefault="007D6ED9" w:rsidP="00103CB1">
      <w:pPr>
        <w:pStyle w:val="ListParagraph"/>
        <w:numPr>
          <w:ilvl w:val="0"/>
          <w:numId w:val="19"/>
        </w:numPr>
        <w:spacing w:after="120"/>
        <w:ind w:right="-35"/>
        <w:jc w:val="both"/>
        <w:rPr>
          <w:sz w:val="24"/>
          <w:lang w:val="es-AR"/>
        </w:rPr>
      </w:pPr>
      <w:r w:rsidRPr="00103CB1">
        <w:rPr>
          <w:sz w:val="24"/>
          <w:lang w:val="es-AR"/>
        </w:rPr>
        <w:t>3</w:t>
      </w:r>
      <w:r w:rsidR="00440840" w:rsidRPr="00103CB1">
        <w:rPr>
          <w:sz w:val="24"/>
          <w:lang w:val="es-AR"/>
        </w:rPr>
        <w:t>0% a la firma de ambas partes del Contrato de Servicios Profesionales y presentación del Plan de Auditoría</w:t>
      </w:r>
    </w:p>
    <w:p w14:paraId="6A6C20FE" w14:textId="77777777" w:rsidR="00440840" w:rsidRPr="00103CB1" w:rsidRDefault="000E5222" w:rsidP="00103CB1">
      <w:pPr>
        <w:pStyle w:val="ListParagraph"/>
        <w:numPr>
          <w:ilvl w:val="0"/>
          <w:numId w:val="19"/>
        </w:numPr>
        <w:spacing w:after="120"/>
        <w:ind w:right="-35"/>
        <w:jc w:val="both"/>
        <w:rPr>
          <w:sz w:val="24"/>
          <w:lang w:val="es-AR"/>
        </w:rPr>
      </w:pPr>
      <w:r w:rsidRPr="00103CB1">
        <w:rPr>
          <w:sz w:val="24"/>
          <w:lang w:val="es-AR"/>
        </w:rPr>
        <w:t>30% a la entrega del Informe Borrador, lo cual está previsto en la quinta semana de trabajo</w:t>
      </w:r>
    </w:p>
    <w:p w14:paraId="513A8E4F" w14:textId="77777777" w:rsidR="00440840" w:rsidRDefault="007D6ED9" w:rsidP="00103CB1">
      <w:pPr>
        <w:pStyle w:val="ListParagraph"/>
        <w:numPr>
          <w:ilvl w:val="0"/>
          <w:numId w:val="19"/>
        </w:numPr>
        <w:spacing w:after="120"/>
        <w:ind w:right="-35"/>
        <w:jc w:val="both"/>
        <w:rPr>
          <w:sz w:val="24"/>
          <w:lang w:val="es-AR"/>
        </w:rPr>
      </w:pPr>
      <w:r w:rsidRPr="00103CB1">
        <w:rPr>
          <w:sz w:val="24"/>
          <w:lang w:val="es-AR"/>
        </w:rPr>
        <w:t>4</w:t>
      </w:r>
      <w:r w:rsidR="000E5222" w:rsidRPr="00103CB1">
        <w:rPr>
          <w:sz w:val="24"/>
          <w:lang w:val="es-AR"/>
        </w:rPr>
        <w:t xml:space="preserve">0% a la aceptación del Informe Final </w:t>
      </w:r>
    </w:p>
    <w:p w14:paraId="4E7244F7" w14:textId="77777777" w:rsidR="00103CB1" w:rsidRDefault="00103CB1" w:rsidP="00103CB1">
      <w:pPr>
        <w:pStyle w:val="ListParagraph"/>
        <w:spacing w:after="120"/>
        <w:ind w:left="1080" w:right="-35"/>
        <w:jc w:val="both"/>
        <w:rPr>
          <w:sz w:val="24"/>
          <w:lang w:val="es-AR"/>
        </w:rPr>
      </w:pPr>
    </w:p>
    <w:p w14:paraId="10CC9086" w14:textId="77777777" w:rsidR="004A14F2" w:rsidRPr="00103CB1" w:rsidRDefault="004A14F2" w:rsidP="00103CB1">
      <w:pPr>
        <w:pStyle w:val="ListParagraph"/>
        <w:numPr>
          <w:ilvl w:val="0"/>
          <w:numId w:val="3"/>
        </w:numPr>
        <w:spacing w:after="120"/>
        <w:ind w:right="-35"/>
        <w:jc w:val="both"/>
        <w:rPr>
          <w:b/>
          <w:bCs/>
          <w:sz w:val="24"/>
          <w:lang w:val="es-AR"/>
        </w:rPr>
      </w:pPr>
      <w:r w:rsidRPr="00103CB1">
        <w:rPr>
          <w:b/>
          <w:bCs/>
          <w:sz w:val="24"/>
          <w:lang w:val="es-AR"/>
        </w:rPr>
        <w:t xml:space="preserve">Requisitos </w:t>
      </w:r>
      <w:r w:rsidR="00D60675">
        <w:rPr>
          <w:b/>
          <w:bCs/>
          <w:sz w:val="24"/>
          <w:lang w:val="es-AR"/>
        </w:rPr>
        <w:t>m</w:t>
      </w:r>
      <w:r w:rsidRPr="00103CB1">
        <w:rPr>
          <w:b/>
          <w:bCs/>
          <w:sz w:val="24"/>
          <w:lang w:val="es-AR"/>
        </w:rPr>
        <w:t>ínimos</w:t>
      </w:r>
    </w:p>
    <w:p w14:paraId="12D12186" w14:textId="77777777" w:rsidR="004A14F2" w:rsidRPr="00103CB1" w:rsidRDefault="000E0BB4" w:rsidP="00103CB1">
      <w:pPr>
        <w:spacing w:after="120"/>
        <w:ind w:right="-35"/>
        <w:jc w:val="both"/>
        <w:rPr>
          <w:snapToGrid w:val="0"/>
          <w:sz w:val="24"/>
          <w:szCs w:val="22"/>
          <w:lang w:val="es-ES_tradnl" w:eastAsia="es-ES"/>
        </w:rPr>
      </w:pPr>
      <w:r w:rsidRPr="00103CB1">
        <w:rPr>
          <w:sz w:val="24"/>
          <w:szCs w:val="22"/>
          <w:lang w:val="es-AR" w:eastAsia="en-GB"/>
        </w:rPr>
        <w:t xml:space="preserve">Para </w:t>
      </w:r>
      <w:r w:rsidR="00ED2DC5" w:rsidRPr="00103CB1">
        <w:rPr>
          <w:sz w:val="24"/>
          <w:szCs w:val="22"/>
          <w:lang w:val="es-AR" w:eastAsia="en-GB"/>
        </w:rPr>
        <w:t>participar en este proceso</w:t>
      </w:r>
      <w:r w:rsidRPr="00103CB1">
        <w:rPr>
          <w:sz w:val="24"/>
          <w:szCs w:val="22"/>
          <w:lang w:val="es-AR" w:eastAsia="en-GB"/>
        </w:rPr>
        <w:t>, la firma auditora</w:t>
      </w:r>
      <w:r w:rsidR="00ED2DC5" w:rsidRPr="00103CB1">
        <w:rPr>
          <w:sz w:val="24"/>
          <w:szCs w:val="22"/>
          <w:lang w:val="es-AR" w:eastAsia="en-GB"/>
        </w:rPr>
        <w:t xml:space="preserve"> </w:t>
      </w:r>
      <w:r w:rsidR="004A14F2" w:rsidRPr="00103CB1">
        <w:rPr>
          <w:sz w:val="24"/>
          <w:szCs w:val="22"/>
          <w:lang w:val="es-AR" w:eastAsia="en-GB"/>
        </w:rPr>
        <w:t xml:space="preserve">debe </w:t>
      </w:r>
      <w:r w:rsidRPr="00103CB1">
        <w:rPr>
          <w:sz w:val="24"/>
          <w:szCs w:val="22"/>
          <w:lang w:val="es-AR" w:eastAsia="en-GB"/>
        </w:rPr>
        <w:t>cumplir con los siguientes dos criterios: a) f</w:t>
      </w:r>
      <w:r w:rsidR="00ED2DC5" w:rsidRPr="00103CB1">
        <w:rPr>
          <w:snapToGrid w:val="0"/>
          <w:sz w:val="24"/>
          <w:szCs w:val="22"/>
          <w:lang w:val="es-ES_tradnl" w:eastAsia="es-ES"/>
        </w:rPr>
        <w:t>igur</w:t>
      </w:r>
      <w:r w:rsidRPr="00103CB1">
        <w:rPr>
          <w:snapToGrid w:val="0"/>
          <w:sz w:val="24"/>
          <w:szCs w:val="22"/>
          <w:lang w:val="es-ES_tradnl" w:eastAsia="es-ES"/>
        </w:rPr>
        <w:t>ar</w:t>
      </w:r>
      <w:r w:rsidR="00ED2DC5" w:rsidRPr="00103CB1">
        <w:rPr>
          <w:snapToGrid w:val="0"/>
          <w:sz w:val="24"/>
          <w:szCs w:val="22"/>
          <w:lang w:val="es-ES_tradnl" w:eastAsia="es-ES"/>
        </w:rPr>
        <w:t xml:space="preserve"> en una lista acreditada de auditores de un donante reconocido</w:t>
      </w:r>
      <w:r w:rsidRPr="00103CB1">
        <w:rPr>
          <w:snapToGrid w:val="0"/>
          <w:sz w:val="24"/>
          <w:szCs w:val="22"/>
          <w:lang w:val="es-ES_tradnl" w:eastAsia="es-ES"/>
        </w:rPr>
        <w:t>, y</w:t>
      </w:r>
      <w:r w:rsidR="00697E35" w:rsidRPr="00103CB1">
        <w:rPr>
          <w:snapToGrid w:val="0"/>
          <w:sz w:val="24"/>
          <w:szCs w:val="22"/>
          <w:lang w:val="es-ES_tradnl" w:eastAsia="es-ES"/>
        </w:rPr>
        <w:t xml:space="preserve"> </w:t>
      </w:r>
      <w:r w:rsidRPr="00103CB1">
        <w:rPr>
          <w:snapToGrid w:val="0"/>
          <w:sz w:val="24"/>
          <w:szCs w:val="22"/>
          <w:lang w:val="es-ES_tradnl" w:eastAsia="es-ES"/>
        </w:rPr>
        <w:t xml:space="preserve">b) </w:t>
      </w:r>
      <w:r w:rsidR="00697E35" w:rsidRPr="00103CB1">
        <w:rPr>
          <w:snapToGrid w:val="0"/>
          <w:sz w:val="24"/>
          <w:szCs w:val="22"/>
          <w:lang w:val="es-ES_tradnl" w:eastAsia="es-ES"/>
        </w:rPr>
        <w:t xml:space="preserve">que figure en la lista de </w:t>
      </w:r>
      <w:r w:rsidR="007B204F" w:rsidRPr="00103CB1">
        <w:rPr>
          <w:snapToGrid w:val="0"/>
          <w:sz w:val="24"/>
          <w:szCs w:val="22"/>
          <w:lang w:val="es-ES_tradnl" w:eastAsia="es-ES"/>
        </w:rPr>
        <w:t xml:space="preserve">la Contraloría </w:t>
      </w:r>
      <w:r w:rsidR="00697E35" w:rsidRPr="00103CB1">
        <w:rPr>
          <w:snapToGrid w:val="0"/>
          <w:sz w:val="24"/>
          <w:szCs w:val="22"/>
          <w:lang w:val="es-ES_tradnl" w:eastAsia="es-ES"/>
        </w:rPr>
        <w:t>General de la República (</w:t>
      </w:r>
      <w:r w:rsidR="007B204F" w:rsidRPr="00103CB1">
        <w:rPr>
          <w:snapToGrid w:val="0"/>
          <w:sz w:val="24"/>
          <w:szCs w:val="22"/>
          <w:lang w:val="es-ES_tradnl" w:eastAsia="es-ES"/>
        </w:rPr>
        <w:t>C</w:t>
      </w:r>
      <w:r w:rsidR="00697E35" w:rsidRPr="00103CB1">
        <w:rPr>
          <w:snapToGrid w:val="0"/>
          <w:sz w:val="24"/>
          <w:szCs w:val="22"/>
          <w:lang w:val="es-ES_tradnl" w:eastAsia="es-ES"/>
        </w:rPr>
        <w:t>GR)</w:t>
      </w:r>
      <w:r w:rsidR="00ED2DC5" w:rsidRPr="00103CB1">
        <w:rPr>
          <w:snapToGrid w:val="0"/>
          <w:sz w:val="24"/>
          <w:szCs w:val="22"/>
          <w:lang w:val="es-ES_tradnl" w:eastAsia="es-ES"/>
        </w:rPr>
        <w:t>.</w:t>
      </w:r>
      <w:r w:rsidR="00AB6A7D" w:rsidRPr="00103CB1">
        <w:rPr>
          <w:snapToGrid w:val="0"/>
          <w:sz w:val="24"/>
          <w:szCs w:val="22"/>
          <w:lang w:val="es-ES_tradnl" w:eastAsia="es-ES"/>
        </w:rPr>
        <w:t xml:space="preserve"> </w:t>
      </w:r>
      <w:r w:rsidRPr="00103CB1">
        <w:rPr>
          <w:snapToGrid w:val="0"/>
          <w:sz w:val="24"/>
          <w:szCs w:val="22"/>
          <w:lang w:val="es-ES_tradnl" w:eastAsia="es-ES"/>
        </w:rPr>
        <w:t xml:space="preserve">No se evaluará propuestas que no cumplan con estas dos condiciones. </w:t>
      </w:r>
    </w:p>
    <w:p w14:paraId="7BFFD809" w14:textId="77777777" w:rsidR="003F00E5" w:rsidRPr="00103CB1" w:rsidRDefault="003F00E5" w:rsidP="00103CB1">
      <w:pPr>
        <w:spacing w:after="120"/>
        <w:ind w:right="-35"/>
        <w:jc w:val="both"/>
        <w:rPr>
          <w:sz w:val="24"/>
          <w:szCs w:val="22"/>
          <w:lang w:val="es-AR" w:eastAsia="en-GB"/>
        </w:rPr>
      </w:pPr>
      <w:r w:rsidRPr="00103CB1">
        <w:rPr>
          <w:color w:val="000000"/>
          <w:sz w:val="24"/>
          <w:szCs w:val="22"/>
          <w:lang w:val="es-ES" w:eastAsia="en-US"/>
        </w:rPr>
        <w:t>Poseer las competencias profesionales adecuadas y tener experiencia en la planificación y realización de este tipo de auditorías.</w:t>
      </w:r>
    </w:p>
    <w:p w14:paraId="210FC09D" w14:textId="77777777" w:rsidR="004A14F2" w:rsidRPr="00103CB1" w:rsidRDefault="004A14F2" w:rsidP="00103CB1">
      <w:pPr>
        <w:spacing w:after="120"/>
        <w:ind w:right="-35"/>
        <w:jc w:val="both"/>
        <w:rPr>
          <w:sz w:val="24"/>
          <w:szCs w:val="22"/>
          <w:lang w:val="es-AR" w:eastAsia="en-GB"/>
        </w:rPr>
      </w:pPr>
      <w:r w:rsidRPr="00103CB1">
        <w:rPr>
          <w:sz w:val="24"/>
          <w:szCs w:val="22"/>
          <w:lang w:val="es-AR" w:eastAsia="en-GB"/>
        </w:rPr>
        <w:t xml:space="preserve">Los integrantes del equipo de auditoría serán profesionales hábiles para </w:t>
      </w:r>
      <w:r w:rsidR="000234AD" w:rsidRPr="00103CB1">
        <w:rPr>
          <w:sz w:val="24"/>
          <w:szCs w:val="22"/>
          <w:lang w:val="es-AR" w:eastAsia="en-GB"/>
        </w:rPr>
        <w:t xml:space="preserve">el ejercicio de sus funciones </w:t>
      </w:r>
      <w:r w:rsidRPr="00103CB1">
        <w:rPr>
          <w:sz w:val="24"/>
          <w:szCs w:val="22"/>
          <w:lang w:val="es-AR" w:eastAsia="en-GB"/>
        </w:rPr>
        <w:t xml:space="preserve">y con experiencia. </w:t>
      </w:r>
      <w:r w:rsidR="00F95FDD" w:rsidRPr="00103CB1">
        <w:rPr>
          <w:sz w:val="24"/>
          <w:szCs w:val="22"/>
          <w:lang w:val="es-AR" w:eastAsia="en-GB"/>
        </w:rPr>
        <w:t>Este equipo estará integrado como mínimo por un auditor principal responsable y por 3 profesionales auditores.</w:t>
      </w:r>
    </w:p>
    <w:p w14:paraId="745D1DE0" w14:textId="465A3341" w:rsidR="00152AEB" w:rsidRPr="00103CB1" w:rsidRDefault="00152AEB" w:rsidP="001345AA">
      <w:pPr>
        <w:tabs>
          <w:tab w:val="left" w:pos="360"/>
          <w:tab w:val="left" w:pos="8280"/>
        </w:tabs>
        <w:spacing w:after="120"/>
        <w:ind w:left="360" w:right="-35" w:hanging="360"/>
        <w:jc w:val="both"/>
        <w:rPr>
          <w:sz w:val="24"/>
          <w:szCs w:val="22"/>
          <w:lang w:val="es-AR" w:eastAsia="en-GB"/>
        </w:rPr>
      </w:pPr>
      <w:r w:rsidRPr="00103CB1">
        <w:rPr>
          <w:sz w:val="24"/>
          <w:szCs w:val="22"/>
          <w:lang w:val="es-AR" w:eastAsia="en-GB"/>
        </w:rPr>
        <w:t xml:space="preserve">Experiencia en auditorías a Organizaciones </w:t>
      </w:r>
      <w:r w:rsidR="001345AA">
        <w:rPr>
          <w:sz w:val="24"/>
          <w:szCs w:val="22"/>
          <w:lang w:val="es-AR" w:eastAsia="en-GB"/>
        </w:rPr>
        <w:t>Sin Fines de Lucro (OSFL)</w:t>
      </w:r>
    </w:p>
    <w:p w14:paraId="33500839" w14:textId="77777777" w:rsidR="000E5222" w:rsidRPr="00103CB1" w:rsidRDefault="00152AEB" w:rsidP="00103CB1">
      <w:pPr>
        <w:tabs>
          <w:tab w:val="left" w:pos="360"/>
          <w:tab w:val="left" w:pos="8280"/>
        </w:tabs>
        <w:spacing w:after="120"/>
        <w:ind w:left="360" w:right="-35" w:hanging="360"/>
        <w:jc w:val="both"/>
        <w:rPr>
          <w:sz w:val="24"/>
          <w:szCs w:val="22"/>
          <w:lang w:val="es-AR" w:eastAsia="en-GB"/>
        </w:rPr>
      </w:pPr>
      <w:r w:rsidRPr="00103CB1">
        <w:rPr>
          <w:sz w:val="24"/>
          <w:szCs w:val="22"/>
          <w:lang w:val="es-AR" w:eastAsia="en-GB"/>
        </w:rPr>
        <w:t xml:space="preserve">Experiencia en auditorías a proyectos financiados por </w:t>
      </w:r>
      <w:r w:rsidR="000234AD" w:rsidRPr="00103CB1">
        <w:rPr>
          <w:sz w:val="24"/>
          <w:szCs w:val="22"/>
          <w:lang w:val="es-AR" w:eastAsia="en-GB"/>
        </w:rPr>
        <w:t xml:space="preserve">El </w:t>
      </w:r>
      <w:r w:rsidRPr="00103CB1">
        <w:rPr>
          <w:sz w:val="24"/>
          <w:szCs w:val="22"/>
          <w:lang w:val="es-AR" w:eastAsia="en-GB"/>
        </w:rPr>
        <w:t>Fondo Mundial.</w:t>
      </w:r>
      <w:r w:rsidR="001345AA">
        <w:rPr>
          <w:sz w:val="24"/>
          <w:szCs w:val="22"/>
          <w:lang w:val="es-AR" w:eastAsia="en-GB"/>
        </w:rPr>
        <w:t xml:space="preserve"> </w:t>
      </w:r>
      <w:r w:rsidR="001345AA" w:rsidRPr="00811088">
        <w:rPr>
          <w:sz w:val="24"/>
          <w:szCs w:val="22"/>
          <w:lang w:val="es-AR" w:eastAsia="en-GB"/>
        </w:rPr>
        <w:t>No obstante, si la firma auditora ha auditado proyectos financiados por El Fondo Mundial en dos subvenciones consecutivas, no podrá participar en esta licitación pública.</w:t>
      </w:r>
      <w:r w:rsidR="001345AA">
        <w:rPr>
          <w:sz w:val="24"/>
          <w:szCs w:val="22"/>
          <w:lang w:val="es-AR" w:eastAsia="en-GB"/>
        </w:rPr>
        <w:t xml:space="preserve"> </w:t>
      </w:r>
    </w:p>
    <w:p w14:paraId="20583146" w14:textId="77777777" w:rsidR="006D4739" w:rsidRPr="00103CB1" w:rsidRDefault="006D4739" w:rsidP="00103CB1">
      <w:pPr>
        <w:pStyle w:val="ListParagraph"/>
        <w:numPr>
          <w:ilvl w:val="0"/>
          <w:numId w:val="3"/>
        </w:numPr>
        <w:spacing w:after="120"/>
        <w:ind w:right="-35"/>
        <w:jc w:val="both"/>
        <w:rPr>
          <w:b/>
          <w:bCs/>
          <w:sz w:val="24"/>
          <w:lang w:val="es-AR"/>
        </w:rPr>
      </w:pPr>
      <w:r w:rsidRPr="00103CB1">
        <w:rPr>
          <w:b/>
          <w:bCs/>
          <w:sz w:val="24"/>
          <w:lang w:val="es-AR"/>
        </w:rPr>
        <w:t xml:space="preserve">Criterios de </w:t>
      </w:r>
      <w:r w:rsidR="00A95863" w:rsidRPr="00103CB1">
        <w:rPr>
          <w:b/>
          <w:bCs/>
          <w:sz w:val="24"/>
          <w:lang w:val="es-AR"/>
        </w:rPr>
        <w:t>s</w:t>
      </w:r>
      <w:r w:rsidRPr="00103CB1">
        <w:rPr>
          <w:b/>
          <w:bCs/>
          <w:sz w:val="24"/>
          <w:lang w:val="es-AR"/>
        </w:rPr>
        <w:t xml:space="preserve">elección y </w:t>
      </w:r>
      <w:r w:rsidR="00A95863" w:rsidRPr="00103CB1">
        <w:rPr>
          <w:b/>
          <w:bCs/>
          <w:sz w:val="24"/>
          <w:lang w:val="es-AR"/>
        </w:rPr>
        <w:t>p</w:t>
      </w:r>
      <w:r w:rsidRPr="00103CB1">
        <w:rPr>
          <w:b/>
          <w:bCs/>
          <w:sz w:val="24"/>
          <w:lang w:val="es-AR"/>
        </w:rPr>
        <w:t xml:space="preserve">resentación de </w:t>
      </w:r>
      <w:r w:rsidR="00A95863" w:rsidRPr="00103CB1">
        <w:rPr>
          <w:b/>
          <w:bCs/>
          <w:sz w:val="24"/>
          <w:lang w:val="es-AR"/>
        </w:rPr>
        <w:t>d</w:t>
      </w:r>
      <w:r w:rsidRPr="00103CB1">
        <w:rPr>
          <w:b/>
          <w:bCs/>
          <w:sz w:val="24"/>
          <w:lang w:val="es-AR"/>
        </w:rPr>
        <w:t xml:space="preserve">ocumentos </w:t>
      </w:r>
    </w:p>
    <w:p w14:paraId="7267179A" w14:textId="77777777" w:rsidR="006D4739" w:rsidRPr="00103CB1" w:rsidRDefault="006D4739" w:rsidP="00103CB1">
      <w:pPr>
        <w:spacing w:after="120"/>
        <w:ind w:right="-35"/>
        <w:jc w:val="both"/>
        <w:rPr>
          <w:sz w:val="24"/>
          <w:szCs w:val="22"/>
          <w:lang w:val="es-AR" w:eastAsia="en-GB"/>
        </w:rPr>
      </w:pPr>
      <w:r w:rsidRPr="00103CB1">
        <w:rPr>
          <w:sz w:val="24"/>
          <w:szCs w:val="22"/>
          <w:lang w:val="es-AR" w:eastAsia="en-GB"/>
        </w:rPr>
        <w:t xml:space="preserve">La propuesta técnica comprenderá la experiencia de la </w:t>
      </w:r>
      <w:r w:rsidR="004D6349" w:rsidRPr="00103CB1">
        <w:rPr>
          <w:sz w:val="24"/>
          <w:szCs w:val="22"/>
          <w:lang w:val="es-AR" w:eastAsia="en-GB"/>
        </w:rPr>
        <w:t xml:space="preserve">firma </w:t>
      </w:r>
      <w:r w:rsidRPr="00103CB1">
        <w:rPr>
          <w:sz w:val="24"/>
          <w:szCs w:val="22"/>
          <w:lang w:val="es-AR" w:eastAsia="en-GB"/>
        </w:rPr>
        <w:t xml:space="preserve">auditora, la experiencia del equipo auditor y el planteamiento técnico. </w:t>
      </w:r>
    </w:p>
    <w:p w14:paraId="78017297" w14:textId="77777777" w:rsidR="006C4158" w:rsidRPr="00103CB1" w:rsidRDefault="006D4739" w:rsidP="00103CB1">
      <w:pPr>
        <w:spacing w:after="120"/>
        <w:ind w:right="-35"/>
        <w:jc w:val="both"/>
        <w:rPr>
          <w:sz w:val="24"/>
          <w:szCs w:val="22"/>
          <w:lang w:val="es-AR" w:eastAsia="en-GB"/>
        </w:rPr>
      </w:pPr>
      <w:r w:rsidRPr="00103CB1">
        <w:rPr>
          <w:sz w:val="24"/>
          <w:szCs w:val="22"/>
          <w:lang w:val="es-AR" w:eastAsia="en-GB"/>
        </w:rPr>
        <w:t xml:space="preserve">Los criterios de selección y puntajes de evaluación para la empresa auditora para los profesionales miembros del equipo de auditoría y para el planteamiento técnico de la propuesta se detallan a continuación: </w:t>
      </w:r>
    </w:p>
    <w:tbl>
      <w:tblPr>
        <w:tblW w:w="9665" w:type="dxa"/>
        <w:jc w:val="center"/>
        <w:tblCellMar>
          <w:left w:w="70" w:type="dxa"/>
          <w:right w:w="70" w:type="dxa"/>
        </w:tblCellMar>
        <w:tblLook w:val="04A0" w:firstRow="1" w:lastRow="0" w:firstColumn="1" w:lastColumn="0" w:noHBand="0" w:noVBand="1"/>
      </w:tblPr>
      <w:tblGrid>
        <w:gridCol w:w="8676"/>
        <w:gridCol w:w="1038"/>
      </w:tblGrid>
      <w:tr w:rsidR="000E0BB4" w:rsidRPr="00D16DDF" w14:paraId="375BCA6F" w14:textId="77777777" w:rsidTr="000E0BB4">
        <w:trPr>
          <w:trHeight w:val="159"/>
          <w:tblHeader/>
          <w:jc w:val="center"/>
        </w:trPr>
        <w:tc>
          <w:tcPr>
            <w:tcW w:w="86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A96109A" w14:textId="77777777" w:rsidR="000E0BB4" w:rsidRPr="00D16DDF" w:rsidRDefault="000E0BB4" w:rsidP="004D6349">
            <w:pPr>
              <w:jc w:val="center"/>
              <w:rPr>
                <w:rFonts w:cs="Arial"/>
                <w:b/>
                <w:bCs/>
                <w:szCs w:val="22"/>
                <w:lang w:val="es-NI" w:eastAsia="es-NI"/>
              </w:rPr>
            </w:pPr>
            <w:r w:rsidRPr="00D16DDF">
              <w:rPr>
                <w:rFonts w:cs="Arial"/>
                <w:b/>
                <w:bCs/>
                <w:szCs w:val="22"/>
                <w:lang w:val="es-NI" w:eastAsia="es-NI"/>
              </w:rPr>
              <w:t>Criterios</w:t>
            </w:r>
          </w:p>
        </w:tc>
        <w:tc>
          <w:tcPr>
            <w:tcW w:w="989" w:type="dxa"/>
            <w:tcBorders>
              <w:top w:val="single" w:sz="4" w:space="0" w:color="auto"/>
              <w:left w:val="nil"/>
              <w:bottom w:val="single" w:sz="4" w:space="0" w:color="auto"/>
              <w:right w:val="single" w:sz="4" w:space="0" w:color="auto"/>
            </w:tcBorders>
            <w:shd w:val="clear" w:color="000000" w:fill="CCFFCC"/>
            <w:noWrap/>
            <w:vAlign w:val="center"/>
            <w:hideMark/>
          </w:tcPr>
          <w:p w14:paraId="1A07C6A1" w14:textId="77777777" w:rsidR="000E0BB4" w:rsidRPr="00D16DDF" w:rsidRDefault="000E0BB4" w:rsidP="004D6349">
            <w:pPr>
              <w:jc w:val="center"/>
              <w:rPr>
                <w:rFonts w:cs="Arial"/>
                <w:b/>
                <w:bCs/>
                <w:i/>
                <w:iCs/>
                <w:szCs w:val="22"/>
                <w:lang w:val="es-NI" w:eastAsia="es-NI"/>
              </w:rPr>
            </w:pPr>
            <w:r w:rsidRPr="00D16DDF">
              <w:rPr>
                <w:rFonts w:cs="Arial"/>
                <w:b/>
                <w:bCs/>
                <w:i/>
                <w:iCs/>
                <w:szCs w:val="22"/>
                <w:lang w:val="es-NI" w:eastAsia="es-NI"/>
              </w:rPr>
              <w:t>Puntaje</w:t>
            </w:r>
          </w:p>
        </w:tc>
      </w:tr>
      <w:tr w:rsidR="000E0BB4" w:rsidRPr="00D16DDF" w14:paraId="01C56457" w14:textId="77777777" w:rsidTr="000E0BB4">
        <w:trPr>
          <w:trHeight w:val="113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5771C3CA" w14:textId="77777777" w:rsidR="000E0BB4" w:rsidRPr="00D16DDF" w:rsidRDefault="000E0BB4" w:rsidP="004D6349">
            <w:pPr>
              <w:rPr>
                <w:rFonts w:cs="Arial"/>
                <w:b/>
                <w:bCs/>
                <w:i/>
                <w:iCs/>
                <w:szCs w:val="22"/>
                <w:lang w:val="es-NI" w:eastAsia="es-NI"/>
              </w:rPr>
            </w:pPr>
            <w:r w:rsidRPr="00D16DDF">
              <w:rPr>
                <w:rFonts w:cs="Arial"/>
                <w:b/>
                <w:bCs/>
                <w:i/>
                <w:iCs/>
                <w:szCs w:val="22"/>
                <w:lang w:val="es-NI" w:eastAsia="es-NI"/>
              </w:rPr>
              <w:t>1. Experiencia de trabajos de la Firma Auditora en programas / proyectos financiados por donantes/cooperantes externos.</w:t>
            </w:r>
            <w:r w:rsidRPr="00D16DDF">
              <w:rPr>
                <w:rFonts w:cs="Arial"/>
                <w:i/>
                <w:iCs/>
                <w:szCs w:val="22"/>
                <w:lang w:val="es-NI" w:eastAsia="es-NI"/>
              </w:rPr>
              <w:t xml:space="preserve"> Valore la documentación que brinda la firma. Si experiencia es de: </w:t>
            </w:r>
            <w:r w:rsidRPr="00D16DDF">
              <w:rPr>
                <w:rFonts w:cs="Arial"/>
                <w:i/>
                <w:iCs/>
                <w:szCs w:val="22"/>
                <w:lang w:val="es-NI" w:eastAsia="es-NI"/>
              </w:rPr>
              <w:br/>
              <w:t xml:space="preserve">10 ó más aplique 5 puntos, </w:t>
            </w:r>
            <w:r w:rsidRPr="00D16DDF">
              <w:rPr>
                <w:rFonts w:cs="Arial"/>
                <w:i/>
                <w:iCs/>
                <w:szCs w:val="22"/>
                <w:lang w:val="es-NI" w:eastAsia="es-NI"/>
              </w:rPr>
              <w:br/>
              <w:t>8-9 auditorías aplique 4 puntos,</w:t>
            </w:r>
            <w:r w:rsidRPr="00D16DDF">
              <w:rPr>
                <w:rFonts w:cs="Arial"/>
                <w:i/>
                <w:iCs/>
                <w:szCs w:val="22"/>
                <w:lang w:val="es-NI" w:eastAsia="es-NI"/>
              </w:rPr>
              <w:br/>
              <w:t>6-7 auditorías aplique 3 puntos,</w:t>
            </w:r>
            <w:r w:rsidRPr="00D16DDF">
              <w:rPr>
                <w:rFonts w:cs="Arial"/>
                <w:i/>
                <w:iCs/>
                <w:szCs w:val="22"/>
                <w:lang w:val="es-NI" w:eastAsia="es-NI"/>
              </w:rPr>
              <w:br/>
              <w:t>5 auditorías o menos aplique 1 punto,</w:t>
            </w:r>
          </w:p>
        </w:tc>
        <w:tc>
          <w:tcPr>
            <w:tcW w:w="989" w:type="dxa"/>
            <w:tcBorders>
              <w:top w:val="nil"/>
              <w:left w:val="nil"/>
              <w:bottom w:val="single" w:sz="4" w:space="0" w:color="auto"/>
              <w:right w:val="single" w:sz="4" w:space="0" w:color="auto"/>
            </w:tcBorders>
            <w:shd w:val="clear" w:color="000000" w:fill="FFFFFF"/>
            <w:vAlign w:val="center"/>
            <w:hideMark/>
          </w:tcPr>
          <w:p w14:paraId="4270F074" w14:textId="77777777" w:rsidR="000E0BB4" w:rsidRPr="00D16DDF" w:rsidRDefault="000E0BB4" w:rsidP="004D6349">
            <w:pPr>
              <w:jc w:val="center"/>
              <w:rPr>
                <w:rFonts w:cs="Arial"/>
                <w:b/>
                <w:bCs/>
                <w:szCs w:val="22"/>
                <w:lang w:val="es-NI" w:eastAsia="es-NI"/>
              </w:rPr>
            </w:pPr>
            <w:r w:rsidRPr="00D16DDF">
              <w:rPr>
                <w:rFonts w:cs="Arial"/>
                <w:b/>
                <w:bCs/>
                <w:szCs w:val="22"/>
                <w:lang w:val="es-NI" w:eastAsia="es-NI"/>
              </w:rPr>
              <w:t>5</w:t>
            </w:r>
          </w:p>
        </w:tc>
      </w:tr>
      <w:tr w:rsidR="000E0BB4" w:rsidRPr="00D16DDF" w14:paraId="0EDD91D1" w14:textId="77777777" w:rsidTr="000E0BB4">
        <w:trPr>
          <w:trHeight w:val="372"/>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0CA71B0D" w14:textId="77777777" w:rsidR="000E0BB4" w:rsidRPr="00D16DDF" w:rsidRDefault="000E0BB4" w:rsidP="004D6349">
            <w:pPr>
              <w:rPr>
                <w:rFonts w:cs="Arial"/>
                <w:b/>
                <w:bCs/>
                <w:i/>
                <w:iCs/>
                <w:szCs w:val="22"/>
                <w:lang w:val="es-NI" w:eastAsia="es-NI"/>
              </w:rPr>
            </w:pPr>
            <w:r w:rsidRPr="00D16DDF">
              <w:rPr>
                <w:rFonts w:cs="Arial"/>
                <w:b/>
                <w:bCs/>
                <w:i/>
                <w:iCs/>
                <w:szCs w:val="22"/>
                <w:lang w:val="es-NI" w:eastAsia="es-NI"/>
              </w:rPr>
              <w:t>2. El personal designado cuenta con la experiencia, formación académica y nivel profesional para llevar a cabo el trabajo.</w:t>
            </w:r>
          </w:p>
        </w:tc>
        <w:tc>
          <w:tcPr>
            <w:tcW w:w="989" w:type="dxa"/>
            <w:tcBorders>
              <w:top w:val="nil"/>
              <w:left w:val="nil"/>
              <w:bottom w:val="single" w:sz="4" w:space="0" w:color="auto"/>
              <w:right w:val="single" w:sz="4" w:space="0" w:color="auto"/>
            </w:tcBorders>
            <w:shd w:val="clear" w:color="auto" w:fill="auto"/>
            <w:vAlign w:val="center"/>
            <w:hideMark/>
          </w:tcPr>
          <w:p w14:paraId="01C5731B" w14:textId="77777777" w:rsidR="000E0BB4" w:rsidRPr="00D16DDF" w:rsidRDefault="000E0BB4" w:rsidP="004D6349">
            <w:pPr>
              <w:jc w:val="center"/>
              <w:rPr>
                <w:rFonts w:cs="Arial"/>
                <w:b/>
                <w:bCs/>
                <w:i/>
                <w:iCs/>
                <w:szCs w:val="22"/>
                <w:lang w:val="es-NI" w:eastAsia="es-NI"/>
              </w:rPr>
            </w:pPr>
            <w:r w:rsidRPr="00D16DDF">
              <w:rPr>
                <w:rFonts w:cs="Arial"/>
                <w:b/>
                <w:bCs/>
                <w:i/>
                <w:iCs/>
                <w:szCs w:val="22"/>
                <w:lang w:val="es-NI" w:eastAsia="es-NI"/>
              </w:rPr>
              <w:t>45</w:t>
            </w:r>
          </w:p>
        </w:tc>
      </w:tr>
      <w:tr w:rsidR="000E0BB4" w:rsidRPr="00FC0297" w14:paraId="7A85B48E"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652FC04B" w14:textId="7FD555CE" w:rsidR="000E0BB4" w:rsidRPr="00D16DDF" w:rsidRDefault="000E0BB4" w:rsidP="00811088">
            <w:pPr>
              <w:rPr>
                <w:rFonts w:cs="Arial"/>
                <w:i/>
                <w:iCs/>
                <w:szCs w:val="22"/>
                <w:lang w:val="es-NI" w:eastAsia="es-NI"/>
              </w:rPr>
            </w:pPr>
            <w:r w:rsidRPr="00D16DDF">
              <w:rPr>
                <w:rFonts w:cs="Arial"/>
                <w:i/>
                <w:iCs/>
                <w:szCs w:val="22"/>
                <w:lang w:val="es-NI" w:eastAsia="es-NI"/>
              </w:rPr>
              <w:t xml:space="preserve">2.1 Socios. </w:t>
            </w:r>
            <w:r w:rsidRPr="00D16DDF">
              <w:rPr>
                <w:rFonts w:cs="Arial"/>
                <w:szCs w:val="22"/>
                <w:lang w:val="es-NI" w:eastAsia="es-NI"/>
              </w:rPr>
              <w:t xml:space="preserve">Se valorará experiencia del profesional en auditorías a </w:t>
            </w:r>
            <w:r w:rsidR="001345AA" w:rsidRPr="00811088">
              <w:rPr>
                <w:rFonts w:cs="Arial"/>
                <w:szCs w:val="22"/>
                <w:lang w:val="es-NI" w:eastAsia="es-NI"/>
              </w:rPr>
              <w:t xml:space="preserve">OSFL </w:t>
            </w:r>
            <w:r w:rsidRPr="00811088">
              <w:rPr>
                <w:rFonts w:cs="Arial"/>
                <w:szCs w:val="22"/>
                <w:lang w:val="es-NI" w:eastAsia="es-NI"/>
              </w:rPr>
              <w:t>u otras</w:t>
            </w:r>
            <w:r w:rsidRPr="00D16DDF">
              <w:rPr>
                <w:rFonts w:cs="Arial"/>
                <w:szCs w:val="22"/>
                <w:lang w:val="es-NI" w:eastAsia="es-NI"/>
              </w:rPr>
              <w:t xml:space="preserve"> organizaciones de sociedad civil, a programas financiados por el Fondo Mundial y otros donantes</w:t>
            </w:r>
          </w:p>
        </w:tc>
        <w:tc>
          <w:tcPr>
            <w:tcW w:w="989" w:type="dxa"/>
            <w:tcBorders>
              <w:top w:val="nil"/>
              <w:left w:val="nil"/>
              <w:bottom w:val="single" w:sz="4" w:space="0" w:color="auto"/>
              <w:right w:val="single" w:sz="4" w:space="0" w:color="auto"/>
            </w:tcBorders>
            <w:shd w:val="clear" w:color="auto" w:fill="auto"/>
            <w:vAlign w:val="center"/>
            <w:hideMark/>
          </w:tcPr>
          <w:p w14:paraId="73F0DE1B" w14:textId="77777777" w:rsidR="000E0BB4" w:rsidRPr="00D16DDF" w:rsidRDefault="000E0BB4" w:rsidP="004D6349">
            <w:pPr>
              <w:jc w:val="center"/>
              <w:rPr>
                <w:rFonts w:cs="Arial"/>
                <w:i/>
                <w:iCs/>
                <w:szCs w:val="22"/>
                <w:lang w:val="es-NI" w:eastAsia="es-NI"/>
              </w:rPr>
            </w:pPr>
            <w:r w:rsidRPr="00D16DDF">
              <w:rPr>
                <w:rFonts w:cs="Arial"/>
                <w:i/>
                <w:iCs/>
                <w:szCs w:val="22"/>
                <w:lang w:val="es-NI" w:eastAsia="es-NI"/>
              </w:rPr>
              <w:t> </w:t>
            </w:r>
          </w:p>
        </w:tc>
      </w:tr>
      <w:tr w:rsidR="000E0BB4" w:rsidRPr="00D16DDF" w14:paraId="68C0FE63" w14:textId="77777777" w:rsidTr="000E0BB4">
        <w:trPr>
          <w:trHeight w:val="36"/>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766CAA70" w14:textId="77777777" w:rsidR="000E0BB4" w:rsidRPr="00D16DDF" w:rsidRDefault="000E0BB4" w:rsidP="004D6349">
            <w:pPr>
              <w:rPr>
                <w:rFonts w:cs="Arial"/>
                <w:szCs w:val="22"/>
                <w:lang w:val="es-NI" w:eastAsia="es-NI"/>
              </w:rPr>
            </w:pPr>
            <w:r w:rsidRPr="00D16DDF">
              <w:rPr>
                <w:rFonts w:cs="Arial"/>
                <w:szCs w:val="22"/>
                <w:lang w:val="es-NI" w:eastAsia="es-NI"/>
              </w:rPr>
              <w:t>a. Experiencia de 10 años o más</w:t>
            </w:r>
          </w:p>
        </w:tc>
        <w:tc>
          <w:tcPr>
            <w:tcW w:w="989" w:type="dxa"/>
            <w:tcBorders>
              <w:top w:val="nil"/>
              <w:left w:val="nil"/>
              <w:bottom w:val="single" w:sz="4" w:space="0" w:color="auto"/>
              <w:right w:val="single" w:sz="4" w:space="0" w:color="auto"/>
            </w:tcBorders>
            <w:shd w:val="clear" w:color="auto" w:fill="auto"/>
            <w:vAlign w:val="center"/>
            <w:hideMark/>
          </w:tcPr>
          <w:p w14:paraId="41D37875" w14:textId="77777777" w:rsidR="000E0BB4" w:rsidRPr="00D16DDF" w:rsidRDefault="000E0BB4" w:rsidP="004D6349">
            <w:pPr>
              <w:jc w:val="center"/>
              <w:rPr>
                <w:rFonts w:cs="Arial"/>
                <w:szCs w:val="22"/>
                <w:lang w:val="es-NI" w:eastAsia="es-NI"/>
              </w:rPr>
            </w:pPr>
            <w:r w:rsidRPr="00D16DDF">
              <w:rPr>
                <w:rFonts w:cs="Arial"/>
                <w:szCs w:val="22"/>
                <w:lang w:val="es-NI" w:eastAsia="es-NI"/>
              </w:rPr>
              <w:t>5</w:t>
            </w:r>
          </w:p>
        </w:tc>
      </w:tr>
      <w:tr w:rsidR="000E0BB4" w:rsidRPr="00D16DDF" w14:paraId="4E27CA45"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4EEC0CA8" w14:textId="77777777" w:rsidR="000E0BB4" w:rsidRPr="00D16DDF" w:rsidRDefault="000E0BB4" w:rsidP="004D6349">
            <w:pPr>
              <w:rPr>
                <w:rFonts w:cs="Arial"/>
                <w:szCs w:val="22"/>
                <w:lang w:val="es-NI" w:eastAsia="es-NI"/>
              </w:rPr>
            </w:pPr>
            <w:r w:rsidRPr="00D16DDF">
              <w:rPr>
                <w:rFonts w:cs="Arial"/>
                <w:szCs w:val="22"/>
                <w:lang w:val="es-NI" w:eastAsia="es-NI"/>
              </w:rPr>
              <w:t xml:space="preserve">b. Experiencia de 8 a 9 años </w:t>
            </w:r>
          </w:p>
        </w:tc>
        <w:tc>
          <w:tcPr>
            <w:tcW w:w="989" w:type="dxa"/>
            <w:tcBorders>
              <w:top w:val="nil"/>
              <w:left w:val="nil"/>
              <w:bottom w:val="single" w:sz="4" w:space="0" w:color="auto"/>
              <w:right w:val="single" w:sz="4" w:space="0" w:color="auto"/>
            </w:tcBorders>
            <w:shd w:val="clear" w:color="auto" w:fill="auto"/>
            <w:vAlign w:val="center"/>
            <w:hideMark/>
          </w:tcPr>
          <w:p w14:paraId="50AE6A10" w14:textId="77777777" w:rsidR="000E0BB4" w:rsidRPr="00D16DDF" w:rsidRDefault="000E0BB4" w:rsidP="004D6349">
            <w:pPr>
              <w:jc w:val="center"/>
              <w:rPr>
                <w:rFonts w:cs="Arial"/>
                <w:szCs w:val="22"/>
                <w:lang w:val="es-NI" w:eastAsia="es-NI"/>
              </w:rPr>
            </w:pPr>
            <w:r w:rsidRPr="00D16DDF">
              <w:rPr>
                <w:rFonts w:cs="Arial"/>
                <w:szCs w:val="22"/>
                <w:lang w:val="es-NI" w:eastAsia="es-NI"/>
              </w:rPr>
              <w:t>3</w:t>
            </w:r>
          </w:p>
        </w:tc>
      </w:tr>
      <w:tr w:rsidR="000E0BB4" w:rsidRPr="00D16DDF" w14:paraId="582B832E"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67878677" w14:textId="77777777" w:rsidR="000E0BB4" w:rsidRPr="00D16DDF" w:rsidRDefault="000E0BB4" w:rsidP="004D6349">
            <w:pPr>
              <w:rPr>
                <w:rFonts w:cs="Arial"/>
                <w:szCs w:val="22"/>
                <w:lang w:val="es-NI" w:eastAsia="es-NI"/>
              </w:rPr>
            </w:pPr>
            <w:r w:rsidRPr="00D16DDF">
              <w:rPr>
                <w:rFonts w:cs="Arial"/>
                <w:szCs w:val="22"/>
                <w:lang w:val="es-NI" w:eastAsia="es-NI"/>
              </w:rPr>
              <w:t xml:space="preserve">c. Menor a ocho años en auditoría </w:t>
            </w:r>
          </w:p>
        </w:tc>
        <w:tc>
          <w:tcPr>
            <w:tcW w:w="989" w:type="dxa"/>
            <w:tcBorders>
              <w:top w:val="nil"/>
              <w:left w:val="nil"/>
              <w:bottom w:val="single" w:sz="4" w:space="0" w:color="auto"/>
              <w:right w:val="single" w:sz="4" w:space="0" w:color="auto"/>
            </w:tcBorders>
            <w:shd w:val="clear" w:color="auto" w:fill="auto"/>
            <w:vAlign w:val="center"/>
            <w:hideMark/>
          </w:tcPr>
          <w:p w14:paraId="553E756C" w14:textId="77777777" w:rsidR="000E0BB4" w:rsidRPr="00D16DDF" w:rsidRDefault="000E0BB4" w:rsidP="004D6349">
            <w:pPr>
              <w:jc w:val="center"/>
              <w:rPr>
                <w:rFonts w:cs="Arial"/>
                <w:szCs w:val="22"/>
                <w:lang w:val="es-NI" w:eastAsia="es-NI"/>
              </w:rPr>
            </w:pPr>
            <w:r w:rsidRPr="00D16DDF">
              <w:rPr>
                <w:rFonts w:cs="Arial"/>
                <w:szCs w:val="22"/>
                <w:lang w:val="es-NI" w:eastAsia="es-NI"/>
              </w:rPr>
              <w:t>1</w:t>
            </w:r>
          </w:p>
        </w:tc>
      </w:tr>
      <w:tr w:rsidR="000E0BB4" w:rsidRPr="00FC0297" w14:paraId="1521F352"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1854587A" w14:textId="2597A414" w:rsidR="000E0BB4" w:rsidRPr="00D16DDF" w:rsidRDefault="000E0BB4" w:rsidP="00811088">
            <w:pPr>
              <w:rPr>
                <w:rFonts w:cs="Arial"/>
                <w:szCs w:val="22"/>
                <w:lang w:val="es-NI" w:eastAsia="es-NI"/>
              </w:rPr>
            </w:pPr>
            <w:r w:rsidRPr="00D16DDF">
              <w:rPr>
                <w:rFonts w:cs="Arial"/>
                <w:szCs w:val="22"/>
                <w:lang w:val="es-NI" w:eastAsia="es-NI"/>
              </w:rPr>
              <w:t xml:space="preserve">2.2 </w:t>
            </w:r>
            <w:r w:rsidRPr="00D16DDF">
              <w:rPr>
                <w:rFonts w:cs="Arial"/>
                <w:i/>
                <w:iCs/>
                <w:szCs w:val="22"/>
                <w:lang w:val="es-NI" w:eastAsia="es-NI"/>
              </w:rPr>
              <w:t>Gerente de Auditoria</w:t>
            </w:r>
            <w:r w:rsidRPr="00D16DDF">
              <w:rPr>
                <w:rFonts w:cs="Arial"/>
                <w:szCs w:val="22"/>
                <w:lang w:val="es-NI" w:eastAsia="es-NI"/>
              </w:rPr>
              <w:t xml:space="preserve">. Se valorará experiencia del profesional en auditorías a </w:t>
            </w:r>
            <w:r w:rsidR="001345AA" w:rsidRPr="00811088">
              <w:rPr>
                <w:rFonts w:cs="Arial"/>
                <w:szCs w:val="22"/>
                <w:lang w:val="es-NI" w:eastAsia="es-NI"/>
              </w:rPr>
              <w:t>OSFL</w:t>
            </w:r>
            <w:r w:rsidR="001345AA">
              <w:rPr>
                <w:rFonts w:cs="Arial"/>
                <w:szCs w:val="22"/>
                <w:lang w:val="es-NI" w:eastAsia="es-NI"/>
              </w:rPr>
              <w:t xml:space="preserve"> </w:t>
            </w:r>
            <w:r w:rsidRPr="00D16DDF">
              <w:rPr>
                <w:rFonts w:cs="Arial"/>
                <w:szCs w:val="22"/>
                <w:lang w:val="es-NI" w:eastAsia="es-NI"/>
              </w:rPr>
              <w:t>u otras organizaciones de sociedad civil, a programas financiados por el Fondo Mundial y otros donantes</w:t>
            </w:r>
          </w:p>
        </w:tc>
        <w:tc>
          <w:tcPr>
            <w:tcW w:w="989" w:type="dxa"/>
            <w:tcBorders>
              <w:top w:val="nil"/>
              <w:left w:val="nil"/>
              <w:bottom w:val="single" w:sz="4" w:space="0" w:color="auto"/>
              <w:right w:val="single" w:sz="4" w:space="0" w:color="auto"/>
            </w:tcBorders>
            <w:shd w:val="clear" w:color="auto" w:fill="auto"/>
            <w:vAlign w:val="center"/>
            <w:hideMark/>
          </w:tcPr>
          <w:p w14:paraId="76D2EED9" w14:textId="77777777" w:rsidR="000E0BB4" w:rsidRPr="00D16DDF" w:rsidRDefault="000E0BB4" w:rsidP="004D6349">
            <w:pPr>
              <w:jc w:val="center"/>
              <w:rPr>
                <w:rFonts w:cs="Arial"/>
                <w:szCs w:val="22"/>
                <w:lang w:val="es-NI" w:eastAsia="es-NI"/>
              </w:rPr>
            </w:pPr>
            <w:r w:rsidRPr="00D16DDF">
              <w:rPr>
                <w:rFonts w:cs="Arial"/>
                <w:szCs w:val="22"/>
                <w:lang w:val="es-NI" w:eastAsia="es-NI"/>
              </w:rPr>
              <w:t> </w:t>
            </w:r>
          </w:p>
        </w:tc>
      </w:tr>
      <w:tr w:rsidR="000E0BB4" w:rsidRPr="00D16DDF" w14:paraId="4CACE5E4" w14:textId="77777777" w:rsidTr="000E0BB4">
        <w:trPr>
          <w:trHeight w:val="36"/>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52804743" w14:textId="77777777" w:rsidR="000E0BB4" w:rsidRPr="00D16DDF" w:rsidRDefault="000E0BB4" w:rsidP="004D6349">
            <w:pPr>
              <w:rPr>
                <w:rFonts w:cs="Arial"/>
                <w:szCs w:val="22"/>
                <w:lang w:val="es-NI" w:eastAsia="es-NI"/>
              </w:rPr>
            </w:pPr>
            <w:r w:rsidRPr="00D16DDF">
              <w:rPr>
                <w:rFonts w:cs="Arial"/>
                <w:szCs w:val="22"/>
                <w:lang w:val="es-NI" w:eastAsia="es-NI"/>
              </w:rPr>
              <w:t>a. Experiencia de 8 años o más</w:t>
            </w:r>
          </w:p>
        </w:tc>
        <w:tc>
          <w:tcPr>
            <w:tcW w:w="989" w:type="dxa"/>
            <w:tcBorders>
              <w:top w:val="nil"/>
              <w:left w:val="nil"/>
              <w:bottom w:val="single" w:sz="4" w:space="0" w:color="auto"/>
              <w:right w:val="single" w:sz="4" w:space="0" w:color="auto"/>
            </w:tcBorders>
            <w:shd w:val="clear" w:color="auto" w:fill="auto"/>
            <w:vAlign w:val="center"/>
            <w:hideMark/>
          </w:tcPr>
          <w:p w14:paraId="1E3AB134" w14:textId="77777777" w:rsidR="000E0BB4" w:rsidRPr="00D16DDF" w:rsidRDefault="000E0BB4" w:rsidP="004D6349">
            <w:pPr>
              <w:jc w:val="center"/>
              <w:rPr>
                <w:rFonts w:cs="Arial"/>
                <w:szCs w:val="22"/>
                <w:lang w:val="es-NI" w:eastAsia="es-NI"/>
              </w:rPr>
            </w:pPr>
            <w:r w:rsidRPr="00D16DDF">
              <w:rPr>
                <w:rFonts w:cs="Arial"/>
                <w:szCs w:val="22"/>
                <w:lang w:val="es-NI" w:eastAsia="es-NI"/>
              </w:rPr>
              <w:t>15</w:t>
            </w:r>
          </w:p>
        </w:tc>
      </w:tr>
      <w:tr w:rsidR="000E0BB4" w:rsidRPr="00D16DDF" w14:paraId="6A6F8C37"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1FFC390B" w14:textId="77777777" w:rsidR="000E0BB4" w:rsidRPr="00D16DDF" w:rsidRDefault="000E0BB4" w:rsidP="004D6349">
            <w:pPr>
              <w:rPr>
                <w:rFonts w:cs="Arial"/>
                <w:szCs w:val="22"/>
                <w:lang w:val="es-NI" w:eastAsia="es-NI"/>
              </w:rPr>
            </w:pPr>
            <w:r w:rsidRPr="00D16DDF">
              <w:rPr>
                <w:rFonts w:cs="Arial"/>
                <w:szCs w:val="22"/>
                <w:lang w:val="es-NI" w:eastAsia="es-NI"/>
              </w:rPr>
              <w:t>b. Experiencia de 5 a 7 años en auditoría</w:t>
            </w:r>
          </w:p>
        </w:tc>
        <w:tc>
          <w:tcPr>
            <w:tcW w:w="989" w:type="dxa"/>
            <w:tcBorders>
              <w:top w:val="nil"/>
              <w:left w:val="nil"/>
              <w:bottom w:val="single" w:sz="4" w:space="0" w:color="auto"/>
              <w:right w:val="single" w:sz="4" w:space="0" w:color="auto"/>
            </w:tcBorders>
            <w:shd w:val="clear" w:color="auto" w:fill="auto"/>
            <w:vAlign w:val="center"/>
            <w:hideMark/>
          </w:tcPr>
          <w:p w14:paraId="2A250CFA" w14:textId="77777777" w:rsidR="000E0BB4" w:rsidRPr="00D16DDF" w:rsidRDefault="000E0BB4" w:rsidP="004D6349">
            <w:pPr>
              <w:jc w:val="center"/>
              <w:rPr>
                <w:rFonts w:cs="Arial"/>
                <w:szCs w:val="22"/>
                <w:lang w:val="es-NI" w:eastAsia="es-NI"/>
              </w:rPr>
            </w:pPr>
            <w:r w:rsidRPr="00D16DDF">
              <w:rPr>
                <w:rFonts w:cs="Arial"/>
                <w:szCs w:val="22"/>
                <w:lang w:val="es-NI" w:eastAsia="es-NI"/>
              </w:rPr>
              <w:t>10</w:t>
            </w:r>
          </w:p>
        </w:tc>
      </w:tr>
      <w:tr w:rsidR="000E0BB4" w:rsidRPr="00D16DDF" w14:paraId="5076FB1A"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5462F910" w14:textId="77777777" w:rsidR="000E0BB4" w:rsidRPr="00D16DDF" w:rsidRDefault="000E0BB4" w:rsidP="004D6349">
            <w:pPr>
              <w:rPr>
                <w:rFonts w:cs="Arial"/>
                <w:szCs w:val="22"/>
                <w:lang w:val="es-NI" w:eastAsia="es-NI"/>
              </w:rPr>
            </w:pPr>
            <w:r w:rsidRPr="00D16DDF">
              <w:rPr>
                <w:rFonts w:cs="Arial"/>
                <w:szCs w:val="22"/>
                <w:lang w:val="es-NI" w:eastAsia="es-NI"/>
              </w:rPr>
              <w:t xml:space="preserve">c. Menor a cinco años en auditoría </w:t>
            </w:r>
          </w:p>
        </w:tc>
        <w:tc>
          <w:tcPr>
            <w:tcW w:w="989" w:type="dxa"/>
            <w:tcBorders>
              <w:top w:val="nil"/>
              <w:left w:val="nil"/>
              <w:bottom w:val="single" w:sz="4" w:space="0" w:color="auto"/>
              <w:right w:val="single" w:sz="4" w:space="0" w:color="auto"/>
            </w:tcBorders>
            <w:shd w:val="clear" w:color="auto" w:fill="auto"/>
            <w:vAlign w:val="center"/>
            <w:hideMark/>
          </w:tcPr>
          <w:p w14:paraId="73F9C7E8" w14:textId="77777777" w:rsidR="000E0BB4" w:rsidRPr="00D16DDF" w:rsidRDefault="000E0BB4" w:rsidP="004D6349">
            <w:pPr>
              <w:jc w:val="center"/>
              <w:rPr>
                <w:rFonts w:cs="Arial"/>
                <w:szCs w:val="22"/>
                <w:lang w:val="es-NI" w:eastAsia="es-NI"/>
              </w:rPr>
            </w:pPr>
            <w:r w:rsidRPr="00D16DDF">
              <w:rPr>
                <w:rFonts w:cs="Arial"/>
                <w:szCs w:val="22"/>
                <w:lang w:val="es-NI" w:eastAsia="es-NI"/>
              </w:rPr>
              <w:t>5</w:t>
            </w:r>
          </w:p>
        </w:tc>
      </w:tr>
      <w:tr w:rsidR="000E0BB4" w:rsidRPr="00FC0297" w14:paraId="6CFE9BE8"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7F8BFCF7" w14:textId="5500C0EE" w:rsidR="000E0BB4" w:rsidRPr="00D16DDF" w:rsidRDefault="000E0BB4" w:rsidP="00811088">
            <w:pPr>
              <w:rPr>
                <w:rFonts w:cs="Arial"/>
                <w:i/>
                <w:iCs/>
                <w:szCs w:val="22"/>
                <w:lang w:val="es-NI" w:eastAsia="es-NI"/>
              </w:rPr>
            </w:pPr>
            <w:r w:rsidRPr="00D16DDF">
              <w:rPr>
                <w:rFonts w:cs="Arial"/>
                <w:i/>
                <w:iCs/>
                <w:szCs w:val="22"/>
                <w:lang w:val="es-NI" w:eastAsia="es-NI"/>
              </w:rPr>
              <w:t xml:space="preserve">2.3 Senior de auditoria. </w:t>
            </w:r>
            <w:r w:rsidRPr="00D16DDF">
              <w:rPr>
                <w:rFonts w:cs="Arial"/>
                <w:szCs w:val="22"/>
                <w:lang w:val="es-NI" w:eastAsia="es-NI"/>
              </w:rPr>
              <w:t xml:space="preserve">Se valorará experiencia del profesional en auditorías </w:t>
            </w:r>
            <w:r w:rsidRPr="00811088">
              <w:rPr>
                <w:rFonts w:cs="Arial"/>
                <w:szCs w:val="22"/>
                <w:lang w:val="es-NI" w:eastAsia="es-NI"/>
              </w:rPr>
              <w:t xml:space="preserve">a </w:t>
            </w:r>
            <w:r w:rsidR="001345AA" w:rsidRPr="00811088">
              <w:rPr>
                <w:rFonts w:cs="Arial"/>
                <w:szCs w:val="22"/>
                <w:lang w:val="es-NI" w:eastAsia="es-NI"/>
              </w:rPr>
              <w:t xml:space="preserve">OSFL </w:t>
            </w:r>
            <w:r w:rsidRPr="00811088">
              <w:rPr>
                <w:rFonts w:cs="Arial"/>
                <w:szCs w:val="22"/>
                <w:lang w:val="es-NI" w:eastAsia="es-NI"/>
              </w:rPr>
              <w:t>u</w:t>
            </w:r>
            <w:r w:rsidRPr="00D16DDF">
              <w:rPr>
                <w:rFonts w:cs="Arial"/>
                <w:szCs w:val="22"/>
                <w:lang w:val="es-NI" w:eastAsia="es-NI"/>
              </w:rPr>
              <w:t xml:space="preserve"> otras organizaciones de sociedad civil, a programas financiados por el Fondo Mundial y otros donantes</w:t>
            </w:r>
          </w:p>
        </w:tc>
        <w:tc>
          <w:tcPr>
            <w:tcW w:w="989" w:type="dxa"/>
            <w:tcBorders>
              <w:top w:val="nil"/>
              <w:left w:val="nil"/>
              <w:bottom w:val="single" w:sz="4" w:space="0" w:color="auto"/>
              <w:right w:val="single" w:sz="4" w:space="0" w:color="auto"/>
            </w:tcBorders>
            <w:shd w:val="clear" w:color="auto" w:fill="auto"/>
            <w:vAlign w:val="center"/>
            <w:hideMark/>
          </w:tcPr>
          <w:p w14:paraId="38749ED8" w14:textId="77777777" w:rsidR="000E0BB4" w:rsidRPr="00D16DDF" w:rsidRDefault="000E0BB4" w:rsidP="004D6349">
            <w:pPr>
              <w:jc w:val="center"/>
              <w:rPr>
                <w:rFonts w:cs="Arial"/>
                <w:i/>
                <w:iCs/>
                <w:szCs w:val="22"/>
                <w:lang w:val="es-NI" w:eastAsia="es-NI"/>
              </w:rPr>
            </w:pPr>
            <w:r w:rsidRPr="00D16DDF">
              <w:rPr>
                <w:rFonts w:cs="Arial"/>
                <w:i/>
                <w:iCs/>
                <w:szCs w:val="22"/>
                <w:lang w:val="es-NI" w:eastAsia="es-NI"/>
              </w:rPr>
              <w:t> </w:t>
            </w:r>
          </w:p>
        </w:tc>
      </w:tr>
      <w:tr w:rsidR="000E0BB4" w:rsidRPr="00D16DDF" w14:paraId="286CC479" w14:textId="77777777" w:rsidTr="000E0BB4">
        <w:trPr>
          <w:trHeight w:val="36"/>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7EB01282" w14:textId="77777777" w:rsidR="000E0BB4" w:rsidRPr="00D16DDF" w:rsidRDefault="000E0BB4" w:rsidP="004D6349">
            <w:pPr>
              <w:rPr>
                <w:rFonts w:cs="Arial"/>
                <w:szCs w:val="22"/>
                <w:lang w:val="es-NI" w:eastAsia="es-NI"/>
              </w:rPr>
            </w:pPr>
            <w:r w:rsidRPr="00D16DDF">
              <w:rPr>
                <w:rFonts w:cs="Arial"/>
                <w:szCs w:val="22"/>
                <w:lang w:val="es-NI" w:eastAsia="es-NI"/>
              </w:rPr>
              <w:t>a. Experiencia de 5 años a más</w:t>
            </w:r>
          </w:p>
        </w:tc>
        <w:tc>
          <w:tcPr>
            <w:tcW w:w="989" w:type="dxa"/>
            <w:tcBorders>
              <w:top w:val="nil"/>
              <w:left w:val="nil"/>
              <w:bottom w:val="single" w:sz="4" w:space="0" w:color="auto"/>
              <w:right w:val="single" w:sz="4" w:space="0" w:color="auto"/>
            </w:tcBorders>
            <w:shd w:val="clear" w:color="auto" w:fill="auto"/>
            <w:vAlign w:val="center"/>
            <w:hideMark/>
          </w:tcPr>
          <w:p w14:paraId="43C2EF8D" w14:textId="77777777" w:rsidR="000E0BB4" w:rsidRPr="00D16DDF" w:rsidRDefault="000E0BB4" w:rsidP="004D6349">
            <w:pPr>
              <w:jc w:val="center"/>
              <w:rPr>
                <w:rFonts w:cs="Arial"/>
                <w:szCs w:val="22"/>
                <w:lang w:val="es-NI" w:eastAsia="es-NI"/>
              </w:rPr>
            </w:pPr>
            <w:r w:rsidRPr="00D16DDF">
              <w:rPr>
                <w:rFonts w:cs="Arial"/>
                <w:szCs w:val="22"/>
                <w:lang w:val="es-NI" w:eastAsia="es-NI"/>
              </w:rPr>
              <w:t>15</w:t>
            </w:r>
          </w:p>
        </w:tc>
      </w:tr>
      <w:tr w:rsidR="000E0BB4" w:rsidRPr="00D16DDF" w14:paraId="1251A809"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6FBA1E09" w14:textId="77777777" w:rsidR="000E0BB4" w:rsidRPr="00D16DDF" w:rsidRDefault="000E0BB4" w:rsidP="004D6349">
            <w:pPr>
              <w:rPr>
                <w:rFonts w:cs="Arial"/>
                <w:szCs w:val="22"/>
                <w:lang w:val="es-NI" w:eastAsia="es-NI"/>
              </w:rPr>
            </w:pPr>
            <w:r w:rsidRPr="00D16DDF">
              <w:rPr>
                <w:rFonts w:cs="Arial"/>
                <w:szCs w:val="22"/>
                <w:lang w:val="es-NI" w:eastAsia="es-NI"/>
              </w:rPr>
              <w:t xml:space="preserve">b. Experiencia de tres a cinco años </w:t>
            </w:r>
          </w:p>
        </w:tc>
        <w:tc>
          <w:tcPr>
            <w:tcW w:w="989" w:type="dxa"/>
            <w:tcBorders>
              <w:top w:val="nil"/>
              <w:left w:val="nil"/>
              <w:bottom w:val="single" w:sz="4" w:space="0" w:color="auto"/>
              <w:right w:val="single" w:sz="4" w:space="0" w:color="auto"/>
            </w:tcBorders>
            <w:shd w:val="clear" w:color="auto" w:fill="auto"/>
            <w:vAlign w:val="center"/>
            <w:hideMark/>
          </w:tcPr>
          <w:p w14:paraId="521F356E" w14:textId="77777777" w:rsidR="000E0BB4" w:rsidRPr="00D16DDF" w:rsidRDefault="000E0BB4" w:rsidP="004D6349">
            <w:pPr>
              <w:jc w:val="center"/>
              <w:rPr>
                <w:rFonts w:cs="Arial"/>
                <w:szCs w:val="22"/>
                <w:lang w:val="es-NI" w:eastAsia="es-NI"/>
              </w:rPr>
            </w:pPr>
            <w:r w:rsidRPr="00D16DDF">
              <w:rPr>
                <w:rFonts w:cs="Arial"/>
                <w:szCs w:val="22"/>
                <w:lang w:val="es-NI" w:eastAsia="es-NI"/>
              </w:rPr>
              <w:t>10</w:t>
            </w:r>
          </w:p>
        </w:tc>
      </w:tr>
      <w:tr w:rsidR="000E0BB4" w:rsidRPr="00D16DDF" w14:paraId="4D1C643D"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61A82A66" w14:textId="77777777" w:rsidR="000E0BB4" w:rsidRPr="00D16DDF" w:rsidRDefault="000E0BB4" w:rsidP="004D6349">
            <w:pPr>
              <w:rPr>
                <w:rFonts w:cs="Arial"/>
                <w:szCs w:val="22"/>
                <w:lang w:val="es-NI" w:eastAsia="es-NI"/>
              </w:rPr>
            </w:pPr>
            <w:r w:rsidRPr="00D16DDF">
              <w:rPr>
                <w:rFonts w:cs="Arial"/>
                <w:szCs w:val="22"/>
                <w:lang w:val="es-NI" w:eastAsia="es-NI"/>
              </w:rPr>
              <w:t xml:space="preserve">c. Menor a 3 años auditoría </w:t>
            </w:r>
          </w:p>
        </w:tc>
        <w:tc>
          <w:tcPr>
            <w:tcW w:w="989" w:type="dxa"/>
            <w:tcBorders>
              <w:top w:val="nil"/>
              <w:left w:val="nil"/>
              <w:bottom w:val="single" w:sz="4" w:space="0" w:color="auto"/>
              <w:right w:val="single" w:sz="4" w:space="0" w:color="auto"/>
            </w:tcBorders>
            <w:shd w:val="clear" w:color="auto" w:fill="auto"/>
            <w:vAlign w:val="center"/>
            <w:hideMark/>
          </w:tcPr>
          <w:p w14:paraId="0B6F6FB0" w14:textId="77777777" w:rsidR="000E0BB4" w:rsidRPr="00D16DDF" w:rsidRDefault="000E0BB4" w:rsidP="004D6349">
            <w:pPr>
              <w:jc w:val="center"/>
              <w:rPr>
                <w:rFonts w:cs="Arial"/>
                <w:szCs w:val="22"/>
                <w:lang w:val="es-NI" w:eastAsia="es-NI"/>
              </w:rPr>
            </w:pPr>
            <w:r w:rsidRPr="00D16DDF">
              <w:rPr>
                <w:rFonts w:cs="Arial"/>
                <w:szCs w:val="22"/>
                <w:lang w:val="es-NI" w:eastAsia="es-NI"/>
              </w:rPr>
              <w:t>5</w:t>
            </w:r>
          </w:p>
        </w:tc>
      </w:tr>
      <w:tr w:rsidR="000E0BB4" w:rsidRPr="00FC0297" w14:paraId="0976F5CB"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553E65EE" w14:textId="77777777" w:rsidR="000E0BB4" w:rsidRPr="00D16DDF" w:rsidRDefault="000E0BB4" w:rsidP="004D6349">
            <w:pPr>
              <w:rPr>
                <w:rFonts w:cs="Arial"/>
                <w:szCs w:val="22"/>
                <w:lang w:val="es-NI" w:eastAsia="es-NI"/>
              </w:rPr>
            </w:pPr>
            <w:r w:rsidRPr="00D16DDF">
              <w:rPr>
                <w:rFonts w:cs="Arial"/>
                <w:szCs w:val="22"/>
                <w:lang w:val="es-NI" w:eastAsia="es-NI"/>
              </w:rPr>
              <w:t>2.4 Expertos en la materia fiscal u otros</w:t>
            </w:r>
          </w:p>
        </w:tc>
        <w:tc>
          <w:tcPr>
            <w:tcW w:w="989" w:type="dxa"/>
            <w:tcBorders>
              <w:top w:val="nil"/>
              <w:left w:val="nil"/>
              <w:bottom w:val="single" w:sz="4" w:space="0" w:color="auto"/>
              <w:right w:val="single" w:sz="4" w:space="0" w:color="auto"/>
            </w:tcBorders>
            <w:shd w:val="clear" w:color="auto" w:fill="auto"/>
            <w:vAlign w:val="center"/>
            <w:hideMark/>
          </w:tcPr>
          <w:p w14:paraId="55D93945" w14:textId="77777777" w:rsidR="000E0BB4" w:rsidRPr="00D16DDF" w:rsidRDefault="000E0BB4" w:rsidP="004D6349">
            <w:pPr>
              <w:jc w:val="center"/>
              <w:rPr>
                <w:rFonts w:cs="Arial"/>
                <w:szCs w:val="22"/>
                <w:lang w:val="es-NI" w:eastAsia="es-NI"/>
              </w:rPr>
            </w:pPr>
            <w:r w:rsidRPr="00D16DDF">
              <w:rPr>
                <w:rFonts w:cs="Arial"/>
                <w:szCs w:val="22"/>
                <w:lang w:val="es-NI" w:eastAsia="es-NI"/>
              </w:rPr>
              <w:t> </w:t>
            </w:r>
          </w:p>
        </w:tc>
      </w:tr>
      <w:tr w:rsidR="000E0BB4" w:rsidRPr="00D16DDF" w14:paraId="0287641F" w14:textId="77777777" w:rsidTr="000E0BB4">
        <w:trPr>
          <w:trHeight w:val="31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33C02B89" w14:textId="7325D11F" w:rsidR="000E0BB4" w:rsidRPr="00D16DDF" w:rsidRDefault="000E0BB4" w:rsidP="004D6349">
            <w:pPr>
              <w:rPr>
                <w:rFonts w:cs="Arial"/>
                <w:szCs w:val="22"/>
                <w:lang w:val="es-NI" w:eastAsia="es-NI"/>
              </w:rPr>
            </w:pPr>
            <w:r w:rsidRPr="00D16DDF">
              <w:rPr>
                <w:rFonts w:cs="Arial"/>
                <w:szCs w:val="22"/>
                <w:lang w:val="es-NI" w:eastAsia="es-NI"/>
              </w:rPr>
              <w:t xml:space="preserve">a. Experiencia del profesional en auditorías a </w:t>
            </w:r>
            <w:r w:rsidR="001345AA">
              <w:rPr>
                <w:rFonts w:cs="Arial"/>
                <w:szCs w:val="22"/>
                <w:lang w:val="es-NI" w:eastAsia="es-NI"/>
              </w:rPr>
              <w:t xml:space="preserve"> </w:t>
            </w:r>
            <w:r w:rsidR="001345AA" w:rsidRPr="00811088">
              <w:rPr>
                <w:rFonts w:cs="Arial"/>
                <w:szCs w:val="22"/>
                <w:lang w:val="es-NI" w:eastAsia="es-NI"/>
              </w:rPr>
              <w:t>OSFL</w:t>
            </w:r>
            <w:r w:rsidR="001345AA">
              <w:rPr>
                <w:rFonts w:cs="Arial"/>
                <w:szCs w:val="22"/>
                <w:lang w:val="es-NI" w:eastAsia="es-NI"/>
              </w:rPr>
              <w:t>,</w:t>
            </w:r>
            <w:r w:rsidRPr="00D16DDF">
              <w:rPr>
                <w:rFonts w:cs="Arial"/>
                <w:szCs w:val="22"/>
                <w:lang w:val="es-NI" w:eastAsia="es-NI"/>
              </w:rPr>
              <w:t xml:space="preserve"> a programas financiados por el Fondo Mundial y otros donantes de 5 años a mas</w:t>
            </w:r>
          </w:p>
        </w:tc>
        <w:tc>
          <w:tcPr>
            <w:tcW w:w="989" w:type="dxa"/>
            <w:tcBorders>
              <w:top w:val="nil"/>
              <w:left w:val="nil"/>
              <w:bottom w:val="single" w:sz="4" w:space="0" w:color="auto"/>
              <w:right w:val="single" w:sz="4" w:space="0" w:color="auto"/>
            </w:tcBorders>
            <w:shd w:val="clear" w:color="auto" w:fill="auto"/>
            <w:vAlign w:val="center"/>
            <w:hideMark/>
          </w:tcPr>
          <w:p w14:paraId="6E5308D9" w14:textId="77777777" w:rsidR="000E0BB4" w:rsidRPr="00D16DDF" w:rsidRDefault="000E0BB4" w:rsidP="004D6349">
            <w:pPr>
              <w:jc w:val="center"/>
              <w:rPr>
                <w:rFonts w:cs="Arial"/>
                <w:szCs w:val="22"/>
                <w:lang w:val="es-NI" w:eastAsia="es-NI"/>
              </w:rPr>
            </w:pPr>
            <w:r w:rsidRPr="00D16DDF">
              <w:rPr>
                <w:rFonts w:cs="Arial"/>
                <w:szCs w:val="22"/>
                <w:lang w:val="es-NI" w:eastAsia="es-NI"/>
              </w:rPr>
              <w:t>10</w:t>
            </w:r>
          </w:p>
        </w:tc>
      </w:tr>
      <w:tr w:rsidR="000E0BB4" w:rsidRPr="00D16DDF" w14:paraId="71F333A6"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1F18B355" w14:textId="77777777" w:rsidR="000E0BB4" w:rsidRPr="00D16DDF" w:rsidRDefault="000E0BB4" w:rsidP="004D6349">
            <w:pPr>
              <w:rPr>
                <w:rFonts w:cs="Arial"/>
                <w:szCs w:val="22"/>
                <w:lang w:val="es-NI" w:eastAsia="es-NI"/>
              </w:rPr>
            </w:pPr>
            <w:r w:rsidRPr="00D16DDF">
              <w:rPr>
                <w:rFonts w:cs="Arial"/>
                <w:szCs w:val="22"/>
                <w:lang w:val="es-NI" w:eastAsia="es-NI"/>
              </w:rPr>
              <w:t xml:space="preserve">b. Experiencia de tres a cinco años </w:t>
            </w:r>
          </w:p>
        </w:tc>
        <w:tc>
          <w:tcPr>
            <w:tcW w:w="989" w:type="dxa"/>
            <w:tcBorders>
              <w:top w:val="nil"/>
              <w:left w:val="nil"/>
              <w:bottom w:val="single" w:sz="4" w:space="0" w:color="auto"/>
              <w:right w:val="single" w:sz="4" w:space="0" w:color="auto"/>
            </w:tcBorders>
            <w:shd w:val="clear" w:color="auto" w:fill="auto"/>
            <w:vAlign w:val="center"/>
            <w:hideMark/>
          </w:tcPr>
          <w:p w14:paraId="11A494F5" w14:textId="77777777" w:rsidR="000E0BB4" w:rsidRPr="00D16DDF" w:rsidRDefault="000E0BB4" w:rsidP="004D6349">
            <w:pPr>
              <w:jc w:val="center"/>
              <w:rPr>
                <w:rFonts w:cs="Arial"/>
                <w:szCs w:val="22"/>
                <w:lang w:val="es-NI" w:eastAsia="es-NI"/>
              </w:rPr>
            </w:pPr>
            <w:r w:rsidRPr="00D16DDF">
              <w:rPr>
                <w:rFonts w:cs="Arial"/>
                <w:szCs w:val="22"/>
                <w:lang w:val="es-NI" w:eastAsia="es-NI"/>
              </w:rPr>
              <w:t>6</w:t>
            </w:r>
          </w:p>
        </w:tc>
      </w:tr>
      <w:tr w:rsidR="000E0BB4" w:rsidRPr="00D16DDF" w14:paraId="0332B9DE"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1A114D6F" w14:textId="77777777" w:rsidR="000E0BB4" w:rsidRPr="00D16DDF" w:rsidRDefault="000E0BB4" w:rsidP="004D6349">
            <w:pPr>
              <w:rPr>
                <w:rFonts w:cs="Arial"/>
                <w:szCs w:val="22"/>
                <w:lang w:val="es-NI" w:eastAsia="es-NI"/>
              </w:rPr>
            </w:pPr>
            <w:r w:rsidRPr="00D16DDF">
              <w:rPr>
                <w:rFonts w:cs="Arial"/>
                <w:szCs w:val="22"/>
                <w:lang w:val="es-NI" w:eastAsia="es-NI"/>
              </w:rPr>
              <w:t xml:space="preserve">c. Menor a 3 años auditoría </w:t>
            </w:r>
          </w:p>
        </w:tc>
        <w:tc>
          <w:tcPr>
            <w:tcW w:w="989" w:type="dxa"/>
            <w:tcBorders>
              <w:top w:val="nil"/>
              <w:left w:val="nil"/>
              <w:bottom w:val="single" w:sz="4" w:space="0" w:color="auto"/>
              <w:right w:val="single" w:sz="4" w:space="0" w:color="auto"/>
            </w:tcBorders>
            <w:shd w:val="clear" w:color="auto" w:fill="auto"/>
            <w:vAlign w:val="center"/>
            <w:hideMark/>
          </w:tcPr>
          <w:p w14:paraId="24D464FB" w14:textId="77777777" w:rsidR="000E0BB4" w:rsidRPr="00D16DDF" w:rsidRDefault="000E0BB4" w:rsidP="004D6349">
            <w:pPr>
              <w:jc w:val="center"/>
              <w:rPr>
                <w:rFonts w:cs="Arial"/>
                <w:szCs w:val="22"/>
                <w:lang w:val="es-NI" w:eastAsia="es-NI"/>
              </w:rPr>
            </w:pPr>
            <w:r w:rsidRPr="00D16DDF">
              <w:rPr>
                <w:rFonts w:cs="Arial"/>
                <w:szCs w:val="22"/>
                <w:lang w:val="es-NI" w:eastAsia="es-NI"/>
              </w:rPr>
              <w:t>3</w:t>
            </w:r>
          </w:p>
        </w:tc>
      </w:tr>
      <w:tr w:rsidR="000E0BB4" w:rsidRPr="00D16DDF" w14:paraId="3F763B4A" w14:textId="77777777" w:rsidTr="000E0BB4">
        <w:trPr>
          <w:trHeight w:val="15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4C113477" w14:textId="77777777" w:rsidR="000E0BB4" w:rsidRPr="00D16DDF" w:rsidRDefault="000E0BB4" w:rsidP="004D6349">
            <w:pPr>
              <w:rPr>
                <w:rFonts w:cs="Arial"/>
                <w:b/>
                <w:bCs/>
                <w:i/>
                <w:iCs/>
                <w:szCs w:val="22"/>
                <w:lang w:val="es-NI" w:eastAsia="es-NI"/>
              </w:rPr>
            </w:pPr>
            <w:r w:rsidRPr="00D16DDF">
              <w:rPr>
                <w:rFonts w:cs="Arial"/>
                <w:b/>
                <w:bCs/>
                <w:i/>
                <w:iCs/>
                <w:szCs w:val="22"/>
                <w:lang w:val="es-NI" w:eastAsia="es-NI"/>
              </w:rPr>
              <w:t>3. Enfoque metodológico y Plan de Trabajo</w:t>
            </w:r>
          </w:p>
        </w:tc>
        <w:tc>
          <w:tcPr>
            <w:tcW w:w="989" w:type="dxa"/>
            <w:tcBorders>
              <w:top w:val="nil"/>
              <w:left w:val="nil"/>
              <w:bottom w:val="single" w:sz="4" w:space="0" w:color="auto"/>
              <w:right w:val="single" w:sz="4" w:space="0" w:color="auto"/>
            </w:tcBorders>
            <w:shd w:val="clear" w:color="auto" w:fill="auto"/>
            <w:vAlign w:val="center"/>
            <w:hideMark/>
          </w:tcPr>
          <w:p w14:paraId="4B16A9A0" w14:textId="77777777" w:rsidR="000E0BB4" w:rsidRPr="00D16DDF" w:rsidRDefault="000E0BB4" w:rsidP="004D6349">
            <w:pPr>
              <w:jc w:val="center"/>
              <w:rPr>
                <w:rFonts w:cs="Arial"/>
                <w:b/>
                <w:bCs/>
                <w:i/>
                <w:iCs/>
                <w:szCs w:val="22"/>
                <w:lang w:val="es-NI" w:eastAsia="es-NI"/>
              </w:rPr>
            </w:pPr>
            <w:r w:rsidRPr="00D16DDF">
              <w:rPr>
                <w:rFonts w:cs="Arial"/>
                <w:b/>
                <w:bCs/>
                <w:i/>
                <w:iCs/>
                <w:szCs w:val="22"/>
                <w:lang w:val="es-NI" w:eastAsia="es-NI"/>
              </w:rPr>
              <w:t>50</w:t>
            </w:r>
          </w:p>
        </w:tc>
      </w:tr>
      <w:tr w:rsidR="000E0BB4" w:rsidRPr="00D16DDF" w14:paraId="5DD006B5" w14:textId="77777777" w:rsidTr="000E0BB4">
        <w:trPr>
          <w:trHeight w:val="47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35CD4965" w14:textId="77777777" w:rsidR="000E0BB4" w:rsidRPr="00D16DDF" w:rsidRDefault="000E0BB4" w:rsidP="004D6349">
            <w:pPr>
              <w:rPr>
                <w:rFonts w:cs="Arial"/>
                <w:i/>
                <w:iCs/>
                <w:szCs w:val="22"/>
                <w:lang w:val="es-NI" w:eastAsia="es-NI"/>
              </w:rPr>
            </w:pPr>
            <w:r w:rsidRPr="00D16DDF">
              <w:rPr>
                <w:rFonts w:cs="Arial"/>
                <w:i/>
                <w:iCs/>
                <w:szCs w:val="22"/>
                <w:lang w:val="es-NI" w:eastAsia="es-NI"/>
              </w:rPr>
              <w:t xml:space="preserve">3.1 Enfoque, métodos, áreas de trabajo y actividades previstas y su consistencia y correspondencia con el cronograma de trabajo propuesto en relación a: </w:t>
            </w:r>
          </w:p>
        </w:tc>
        <w:tc>
          <w:tcPr>
            <w:tcW w:w="989" w:type="dxa"/>
            <w:tcBorders>
              <w:top w:val="nil"/>
              <w:left w:val="nil"/>
              <w:bottom w:val="single" w:sz="4" w:space="0" w:color="auto"/>
              <w:right w:val="single" w:sz="4" w:space="0" w:color="auto"/>
            </w:tcBorders>
            <w:shd w:val="clear" w:color="auto" w:fill="auto"/>
            <w:vAlign w:val="center"/>
            <w:hideMark/>
          </w:tcPr>
          <w:p w14:paraId="1F85746C" w14:textId="77777777" w:rsidR="000E0BB4" w:rsidRPr="00D16DDF" w:rsidRDefault="000E0BB4" w:rsidP="004D6349">
            <w:pPr>
              <w:jc w:val="center"/>
              <w:rPr>
                <w:rFonts w:cs="Arial"/>
                <w:i/>
                <w:iCs/>
                <w:szCs w:val="22"/>
                <w:lang w:val="es-NI" w:eastAsia="es-NI"/>
              </w:rPr>
            </w:pPr>
            <w:r w:rsidRPr="00D16DDF">
              <w:rPr>
                <w:rFonts w:cs="Arial"/>
                <w:i/>
                <w:iCs/>
                <w:szCs w:val="22"/>
                <w:lang w:val="es-NI" w:eastAsia="es-NI"/>
              </w:rPr>
              <w:t>25</w:t>
            </w:r>
          </w:p>
        </w:tc>
      </w:tr>
      <w:tr w:rsidR="000E0BB4" w:rsidRPr="00D16DDF" w14:paraId="407D8D28" w14:textId="77777777" w:rsidTr="000E0BB4">
        <w:trPr>
          <w:trHeight w:val="31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109E45CB" w14:textId="77777777" w:rsidR="000E0BB4" w:rsidRPr="00D16DDF" w:rsidRDefault="000E0BB4" w:rsidP="004D6349">
            <w:pPr>
              <w:rPr>
                <w:rFonts w:cs="Arial"/>
                <w:szCs w:val="22"/>
                <w:lang w:val="es-NI" w:eastAsia="es-NI"/>
              </w:rPr>
            </w:pPr>
            <w:r w:rsidRPr="00D16DDF">
              <w:rPr>
                <w:rFonts w:cs="Arial"/>
                <w:szCs w:val="22"/>
                <w:lang w:val="es-NI" w:eastAsia="es-NI"/>
              </w:rPr>
              <w:t>a. Descripción y dimensión de las áreas y actividades a desarrollar para el alcance de los resultados previstos</w:t>
            </w:r>
          </w:p>
        </w:tc>
        <w:tc>
          <w:tcPr>
            <w:tcW w:w="989" w:type="dxa"/>
            <w:tcBorders>
              <w:top w:val="nil"/>
              <w:left w:val="nil"/>
              <w:bottom w:val="single" w:sz="4" w:space="0" w:color="auto"/>
              <w:right w:val="single" w:sz="4" w:space="0" w:color="auto"/>
            </w:tcBorders>
            <w:shd w:val="clear" w:color="auto" w:fill="auto"/>
            <w:vAlign w:val="center"/>
            <w:hideMark/>
          </w:tcPr>
          <w:p w14:paraId="22E82FC6" w14:textId="77777777" w:rsidR="000E0BB4" w:rsidRPr="00D16DDF" w:rsidRDefault="000E0BB4" w:rsidP="004D6349">
            <w:pPr>
              <w:jc w:val="center"/>
              <w:rPr>
                <w:rFonts w:cs="Arial"/>
                <w:szCs w:val="22"/>
                <w:lang w:val="es-NI" w:eastAsia="es-NI"/>
              </w:rPr>
            </w:pPr>
            <w:r w:rsidRPr="00D16DDF">
              <w:rPr>
                <w:rFonts w:cs="Arial"/>
                <w:szCs w:val="22"/>
                <w:lang w:val="es-NI" w:eastAsia="es-NI"/>
              </w:rPr>
              <w:t>10</w:t>
            </w:r>
          </w:p>
        </w:tc>
      </w:tr>
      <w:tr w:rsidR="000E0BB4" w:rsidRPr="00D16DDF" w14:paraId="5F259004" w14:textId="77777777" w:rsidTr="000E0BB4">
        <w:trPr>
          <w:trHeight w:val="31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2B9D0349" w14:textId="77777777" w:rsidR="000E0BB4" w:rsidRPr="00D16DDF" w:rsidRDefault="000E0BB4" w:rsidP="004D6349">
            <w:pPr>
              <w:rPr>
                <w:rFonts w:cs="Arial"/>
                <w:szCs w:val="22"/>
                <w:lang w:val="es-NI" w:eastAsia="es-NI"/>
              </w:rPr>
            </w:pPr>
            <w:r w:rsidRPr="00D16DDF">
              <w:rPr>
                <w:rFonts w:cs="Arial"/>
                <w:szCs w:val="22"/>
                <w:lang w:val="es-NI" w:eastAsia="es-NI"/>
              </w:rPr>
              <w:t>b. Se identifican las áreas críticas, evaluación de riesgos, evaluación al sistema de control interno.</w:t>
            </w:r>
          </w:p>
        </w:tc>
        <w:tc>
          <w:tcPr>
            <w:tcW w:w="989" w:type="dxa"/>
            <w:tcBorders>
              <w:top w:val="nil"/>
              <w:left w:val="nil"/>
              <w:bottom w:val="single" w:sz="4" w:space="0" w:color="auto"/>
              <w:right w:val="single" w:sz="4" w:space="0" w:color="auto"/>
            </w:tcBorders>
            <w:shd w:val="clear" w:color="auto" w:fill="auto"/>
            <w:vAlign w:val="center"/>
            <w:hideMark/>
          </w:tcPr>
          <w:p w14:paraId="4193D37F" w14:textId="77777777" w:rsidR="000E0BB4" w:rsidRPr="00D16DDF" w:rsidRDefault="000E0BB4" w:rsidP="004D6349">
            <w:pPr>
              <w:jc w:val="center"/>
              <w:rPr>
                <w:rFonts w:cs="Arial"/>
                <w:szCs w:val="22"/>
                <w:lang w:val="es-NI" w:eastAsia="es-NI"/>
              </w:rPr>
            </w:pPr>
            <w:r w:rsidRPr="00D16DDF">
              <w:rPr>
                <w:rFonts w:cs="Arial"/>
                <w:szCs w:val="22"/>
                <w:lang w:val="es-NI" w:eastAsia="es-NI"/>
              </w:rPr>
              <w:t>5</w:t>
            </w:r>
          </w:p>
        </w:tc>
      </w:tr>
      <w:tr w:rsidR="000E0BB4" w:rsidRPr="00D16DDF" w14:paraId="58FFAB8B" w14:textId="77777777" w:rsidTr="000E0BB4">
        <w:trPr>
          <w:trHeight w:val="567"/>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3F12E456" w14:textId="77777777" w:rsidR="000E0BB4" w:rsidRPr="00D16DDF" w:rsidRDefault="000E0BB4" w:rsidP="004D6349">
            <w:pPr>
              <w:rPr>
                <w:rFonts w:cs="Arial"/>
                <w:szCs w:val="22"/>
                <w:lang w:val="es-NI" w:eastAsia="es-NI"/>
              </w:rPr>
            </w:pPr>
            <w:r w:rsidRPr="00D16DDF">
              <w:rPr>
                <w:rFonts w:cs="Arial"/>
                <w:szCs w:val="22"/>
                <w:lang w:val="es-NI" w:eastAsia="es-NI"/>
              </w:rPr>
              <w:t>c. Descripción de métodos y técnicas para realizar las actividades de auditoria, de acuerdo a las directrices de El Fondo Mundial, según los TDR</w:t>
            </w:r>
          </w:p>
        </w:tc>
        <w:tc>
          <w:tcPr>
            <w:tcW w:w="989" w:type="dxa"/>
            <w:tcBorders>
              <w:top w:val="nil"/>
              <w:left w:val="nil"/>
              <w:bottom w:val="single" w:sz="4" w:space="0" w:color="auto"/>
              <w:right w:val="single" w:sz="4" w:space="0" w:color="auto"/>
            </w:tcBorders>
            <w:shd w:val="clear" w:color="auto" w:fill="auto"/>
            <w:vAlign w:val="center"/>
            <w:hideMark/>
          </w:tcPr>
          <w:p w14:paraId="52CE8CE2" w14:textId="77777777" w:rsidR="000E0BB4" w:rsidRPr="00D16DDF" w:rsidRDefault="000E0BB4" w:rsidP="004D6349">
            <w:pPr>
              <w:jc w:val="center"/>
              <w:rPr>
                <w:rFonts w:cs="Arial"/>
                <w:szCs w:val="22"/>
                <w:lang w:val="es-NI" w:eastAsia="es-NI"/>
              </w:rPr>
            </w:pPr>
            <w:r w:rsidRPr="00D16DDF">
              <w:rPr>
                <w:rFonts w:cs="Arial"/>
                <w:szCs w:val="22"/>
                <w:lang w:val="es-NI" w:eastAsia="es-NI"/>
              </w:rPr>
              <w:t>10</w:t>
            </w:r>
          </w:p>
        </w:tc>
      </w:tr>
      <w:tr w:rsidR="000E0BB4" w:rsidRPr="00D16DDF" w14:paraId="0949172F" w14:textId="77777777" w:rsidTr="000E0BB4">
        <w:trPr>
          <w:trHeight w:val="31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6364CD7C" w14:textId="77777777" w:rsidR="000E0BB4" w:rsidRPr="00D16DDF" w:rsidRDefault="000E0BB4" w:rsidP="004D6349">
            <w:pPr>
              <w:rPr>
                <w:rFonts w:cs="Arial"/>
                <w:szCs w:val="22"/>
                <w:lang w:val="es-NI" w:eastAsia="es-NI"/>
              </w:rPr>
            </w:pPr>
            <w:r w:rsidRPr="00D16DDF">
              <w:rPr>
                <w:rFonts w:cs="Arial"/>
                <w:szCs w:val="22"/>
                <w:lang w:val="es-NI" w:eastAsia="es-NI"/>
              </w:rPr>
              <w:t>3.2 Presentación de organización y cronograma de trabajo para la realización de la Auditoría</w:t>
            </w:r>
          </w:p>
        </w:tc>
        <w:tc>
          <w:tcPr>
            <w:tcW w:w="989" w:type="dxa"/>
            <w:tcBorders>
              <w:top w:val="nil"/>
              <w:left w:val="nil"/>
              <w:bottom w:val="single" w:sz="4" w:space="0" w:color="auto"/>
              <w:right w:val="single" w:sz="4" w:space="0" w:color="auto"/>
            </w:tcBorders>
            <w:shd w:val="clear" w:color="auto" w:fill="auto"/>
            <w:vAlign w:val="center"/>
            <w:hideMark/>
          </w:tcPr>
          <w:p w14:paraId="2D2BEDA8" w14:textId="77777777" w:rsidR="000E0BB4" w:rsidRPr="00D16DDF" w:rsidRDefault="000E0BB4" w:rsidP="004D6349">
            <w:pPr>
              <w:jc w:val="center"/>
              <w:rPr>
                <w:rFonts w:cs="Arial"/>
                <w:szCs w:val="22"/>
                <w:lang w:val="es-NI" w:eastAsia="es-NI"/>
              </w:rPr>
            </w:pPr>
            <w:r w:rsidRPr="00D16DDF">
              <w:rPr>
                <w:rFonts w:cs="Arial"/>
                <w:szCs w:val="22"/>
                <w:lang w:val="es-NI" w:eastAsia="es-NI"/>
              </w:rPr>
              <w:t>25</w:t>
            </w:r>
          </w:p>
        </w:tc>
      </w:tr>
      <w:tr w:rsidR="000E0BB4" w:rsidRPr="00D16DDF" w14:paraId="5FB9BB6F" w14:textId="77777777" w:rsidTr="000E0BB4">
        <w:trPr>
          <w:trHeight w:val="783"/>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540B0EAF" w14:textId="77777777" w:rsidR="000E0BB4" w:rsidRPr="00D16DDF" w:rsidRDefault="000E0BB4" w:rsidP="004D6349">
            <w:pPr>
              <w:rPr>
                <w:rFonts w:cs="Arial"/>
                <w:szCs w:val="22"/>
                <w:lang w:val="es-NI" w:eastAsia="es-NI"/>
              </w:rPr>
            </w:pPr>
            <w:r w:rsidRPr="00D16DDF">
              <w:rPr>
                <w:rFonts w:cs="Arial"/>
                <w:szCs w:val="22"/>
                <w:lang w:val="es-NI" w:eastAsia="es-NI"/>
              </w:rPr>
              <w:t>a. Presentación de organigrama del personal asignado (ejecutivo y técnico) relacionado con el cronograma de trabajo para la realización de la Auditoría. Se aplica puntaje máximo si presenta el cronograma y describe las responsabilidades por cada recurso humano propuesto.</w:t>
            </w:r>
          </w:p>
        </w:tc>
        <w:tc>
          <w:tcPr>
            <w:tcW w:w="989" w:type="dxa"/>
            <w:tcBorders>
              <w:top w:val="nil"/>
              <w:left w:val="nil"/>
              <w:bottom w:val="single" w:sz="4" w:space="0" w:color="auto"/>
              <w:right w:val="single" w:sz="4" w:space="0" w:color="auto"/>
            </w:tcBorders>
            <w:shd w:val="clear" w:color="auto" w:fill="auto"/>
            <w:vAlign w:val="center"/>
            <w:hideMark/>
          </w:tcPr>
          <w:p w14:paraId="473F3AA6" w14:textId="77777777" w:rsidR="000E0BB4" w:rsidRPr="00D16DDF" w:rsidRDefault="000E0BB4" w:rsidP="004D6349">
            <w:pPr>
              <w:jc w:val="center"/>
              <w:rPr>
                <w:rFonts w:cs="Arial"/>
                <w:szCs w:val="22"/>
                <w:lang w:val="es-NI" w:eastAsia="es-NI"/>
              </w:rPr>
            </w:pPr>
            <w:r w:rsidRPr="00D16DDF">
              <w:rPr>
                <w:rFonts w:cs="Arial"/>
                <w:szCs w:val="22"/>
                <w:lang w:val="es-NI" w:eastAsia="es-NI"/>
              </w:rPr>
              <w:t>7</w:t>
            </w:r>
          </w:p>
        </w:tc>
      </w:tr>
      <w:tr w:rsidR="000E0BB4" w:rsidRPr="00D16DDF" w14:paraId="7B504341" w14:textId="77777777" w:rsidTr="000E0BB4">
        <w:trPr>
          <w:trHeight w:val="943"/>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735875F3" w14:textId="77777777" w:rsidR="000E0BB4" w:rsidRPr="00D16DDF" w:rsidRDefault="000E0BB4" w:rsidP="004D6349">
            <w:pPr>
              <w:rPr>
                <w:rFonts w:cs="Arial"/>
                <w:szCs w:val="22"/>
                <w:lang w:val="es-NI" w:eastAsia="es-NI"/>
              </w:rPr>
            </w:pPr>
            <w:r w:rsidRPr="00D16DDF">
              <w:rPr>
                <w:rFonts w:cs="Arial"/>
                <w:szCs w:val="22"/>
                <w:lang w:val="es-NI" w:eastAsia="es-NI"/>
              </w:rPr>
              <w:t>b. Secuencia y consistencia de las actividades y plazo de tiempo previsto en el cronograma para realizar las actividades, con entrega de los productos esperados. Se valora con el mayor puntaje si el cronograma describe todas las actividades necesarias y requeridas para el desarrollo completo de la auditoría.</w:t>
            </w:r>
          </w:p>
        </w:tc>
        <w:tc>
          <w:tcPr>
            <w:tcW w:w="989" w:type="dxa"/>
            <w:tcBorders>
              <w:top w:val="nil"/>
              <w:left w:val="nil"/>
              <w:bottom w:val="single" w:sz="4" w:space="0" w:color="auto"/>
              <w:right w:val="single" w:sz="4" w:space="0" w:color="auto"/>
            </w:tcBorders>
            <w:shd w:val="clear" w:color="auto" w:fill="auto"/>
            <w:vAlign w:val="center"/>
            <w:hideMark/>
          </w:tcPr>
          <w:p w14:paraId="23B1E94F" w14:textId="77777777" w:rsidR="000E0BB4" w:rsidRPr="00D16DDF" w:rsidRDefault="000E0BB4" w:rsidP="004D6349">
            <w:pPr>
              <w:jc w:val="center"/>
              <w:rPr>
                <w:rFonts w:cs="Arial"/>
                <w:szCs w:val="22"/>
                <w:lang w:val="es-NI" w:eastAsia="es-NI"/>
              </w:rPr>
            </w:pPr>
            <w:r w:rsidRPr="00D16DDF">
              <w:rPr>
                <w:rFonts w:cs="Arial"/>
                <w:szCs w:val="22"/>
                <w:lang w:val="es-NI" w:eastAsia="es-NI"/>
              </w:rPr>
              <w:t>7</w:t>
            </w:r>
          </w:p>
        </w:tc>
      </w:tr>
      <w:tr w:rsidR="000E0BB4" w:rsidRPr="00D16DDF" w14:paraId="559A0590" w14:textId="77777777" w:rsidTr="000E0BB4">
        <w:trPr>
          <w:trHeight w:val="808"/>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5131005C" w14:textId="77777777" w:rsidR="000E0BB4" w:rsidRPr="00D16DDF" w:rsidRDefault="000E0BB4" w:rsidP="004D6349">
            <w:pPr>
              <w:rPr>
                <w:rFonts w:cs="Arial"/>
                <w:szCs w:val="22"/>
                <w:lang w:val="es-NI" w:eastAsia="es-NI"/>
              </w:rPr>
            </w:pPr>
            <w:r w:rsidRPr="00D16DDF">
              <w:rPr>
                <w:rFonts w:cs="Arial"/>
                <w:szCs w:val="22"/>
                <w:lang w:val="es-NI" w:eastAsia="es-NI"/>
              </w:rPr>
              <w:t>c. Presentación del informe preliminar, carta de gestión e informe final, es razonable en tiempo y forma. Propuesta de informe de resultados, descripción de contenido del informe. Se valore con el mayor puntaje si explica y describe todos estos elementos.</w:t>
            </w:r>
          </w:p>
        </w:tc>
        <w:tc>
          <w:tcPr>
            <w:tcW w:w="989" w:type="dxa"/>
            <w:tcBorders>
              <w:top w:val="nil"/>
              <w:left w:val="nil"/>
              <w:bottom w:val="single" w:sz="4" w:space="0" w:color="auto"/>
              <w:right w:val="single" w:sz="4" w:space="0" w:color="auto"/>
            </w:tcBorders>
            <w:shd w:val="clear" w:color="auto" w:fill="auto"/>
            <w:vAlign w:val="center"/>
            <w:hideMark/>
          </w:tcPr>
          <w:p w14:paraId="5FE7AB0D" w14:textId="77777777" w:rsidR="000E0BB4" w:rsidRPr="00D16DDF" w:rsidRDefault="000E0BB4" w:rsidP="004D6349">
            <w:pPr>
              <w:jc w:val="center"/>
              <w:rPr>
                <w:rFonts w:cs="Arial"/>
                <w:szCs w:val="22"/>
                <w:lang w:val="es-NI" w:eastAsia="es-NI"/>
              </w:rPr>
            </w:pPr>
            <w:r w:rsidRPr="00D16DDF">
              <w:rPr>
                <w:rFonts w:cs="Arial"/>
                <w:szCs w:val="22"/>
                <w:lang w:val="es-NI" w:eastAsia="es-NI"/>
              </w:rPr>
              <w:t>6</w:t>
            </w:r>
          </w:p>
        </w:tc>
      </w:tr>
      <w:tr w:rsidR="000E0BB4" w:rsidRPr="00D16DDF" w14:paraId="22580BC6" w14:textId="77777777" w:rsidTr="000E0BB4">
        <w:trPr>
          <w:trHeight w:val="989"/>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10D4381D" w14:textId="77777777" w:rsidR="000E0BB4" w:rsidRPr="00D16DDF" w:rsidRDefault="000E0BB4" w:rsidP="004D6349">
            <w:pPr>
              <w:rPr>
                <w:rFonts w:cs="Arial"/>
                <w:i/>
                <w:iCs/>
                <w:szCs w:val="22"/>
                <w:lang w:val="es-NI" w:eastAsia="es-NI"/>
              </w:rPr>
            </w:pPr>
            <w:r w:rsidRPr="00D16DDF">
              <w:rPr>
                <w:rFonts w:cs="Arial"/>
                <w:i/>
                <w:iCs/>
                <w:szCs w:val="22"/>
                <w:lang w:val="es-NI" w:eastAsia="es-NI"/>
              </w:rPr>
              <w:t>3.</w:t>
            </w:r>
            <w:r w:rsidRPr="00D16DDF">
              <w:rPr>
                <w:rFonts w:cs="Arial"/>
                <w:iCs/>
                <w:szCs w:val="22"/>
                <w:lang w:val="es-NI" w:eastAsia="es-NI"/>
              </w:rPr>
              <w:t>3 Adaptación de la propuesta a la naturaleza general y cobertura de los términos de referencia y requerimientos de auditoria.</w:t>
            </w:r>
            <w:r w:rsidRPr="00D16DDF">
              <w:rPr>
                <w:rFonts w:cs="Arial"/>
                <w:i/>
                <w:iCs/>
                <w:szCs w:val="22"/>
                <w:lang w:val="es-NI" w:eastAsia="es-NI"/>
              </w:rPr>
              <w:t xml:space="preserve"> Se Valora si la propuesta presenta alguna adaptación necesaria y requerida para aspectos del proceso de auditoría que realizarán, considerando también la situación de pandemia COVID-19. Puntaje máximo si existe alguna adaptación y si la misma es vital para el proceso.</w:t>
            </w:r>
          </w:p>
        </w:tc>
        <w:tc>
          <w:tcPr>
            <w:tcW w:w="989" w:type="dxa"/>
            <w:tcBorders>
              <w:top w:val="nil"/>
              <w:left w:val="nil"/>
              <w:bottom w:val="single" w:sz="4" w:space="0" w:color="auto"/>
              <w:right w:val="single" w:sz="4" w:space="0" w:color="auto"/>
            </w:tcBorders>
            <w:shd w:val="clear" w:color="auto" w:fill="auto"/>
            <w:vAlign w:val="center"/>
            <w:hideMark/>
          </w:tcPr>
          <w:p w14:paraId="387958FF" w14:textId="77777777" w:rsidR="000E0BB4" w:rsidRPr="00D16DDF" w:rsidRDefault="000E0BB4" w:rsidP="004D6349">
            <w:pPr>
              <w:jc w:val="center"/>
              <w:rPr>
                <w:rFonts w:cs="Arial"/>
                <w:b/>
                <w:bCs/>
                <w:i/>
                <w:iCs/>
                <w:szCs w:val="22"/>
                <w:lang w:val="es-NI" w:eastAsia="es-NI"/>
              </w:rPr>
            </w:pPr>
            <w:r w:rsidRPr="00D16DDF">
              <w:rPr>
                <w:rFonts w:cs="Arial"/>
                <w:b/>
                <w:bCs/>
                <w:i/>
                <w:iCs/>
                <w:szCs w:val="22"/>
                <w:lang w:val="es-NI" w:eastAsia="es-NI"/>
              </w:rPr>
              <w:t>5</w:t>
            </w:r>
          </w:p>
        </w:tc>
      </w:tr>
      <w:tr w:rsidR="000E0BB4" w:rsidRPr="00D16DDF" w14:paraId="0E307EE8" w14:textId="77777777" w:rsidTr="000E0BB4">
        <w:trPr>
          <w:trHeight w:val="167"/>
          <w:jc w:val="center"/>
        </w:trPr>
        <w:tc>
          <w:tcPr>
            <w:tcW w:w="8676" w:type="dxa"/>
            <w:tcBorders>
              <w:top w:val="nil"/>
              <w:left w:val="single" w:sz="4" w:space="0" w:color="auto"/>
              <w:bottom w:val="single" w:sz="4" w:space="0" w:color="auto"/>
              <w:right w:val="single" w:sz="4" w:space="0" w:color="auto"/>
            </w:tcBorders>
            <w:shd w:val="clear" w:color="auto" w:fill="auto"/>
            <w:vAlign w:val="center"/>
            <w:hideMark/>
          </w:tcPr>
          <w:p w14:paraId="26C87C4E" w14:textId="77777777" w:rsidR="000E0BB4" w:rsidRPr="00D16DDF" w:rsidRDefault="000E0BB4" w:rsidP="004D6349">
            <w:pPr>
              <w:rPr>
                <w:rFonts w:cs="Arial"/>
                <w:b/>
                <w:bCs/>
                <w:i/>
                <w:iCs/>
                <w:szCs w:val="22"/>
                <w:lang w:val="es-NI" w:eastAsia="es-NI"/>
              </w:rPr>
            </w:pPr>
            <w:r w:rsidRPr="00D16DDF">
              <w:rPr>
                <w:rFonts w:cs="Arial"/>
                <w:b/>
                <w:bCs/>
                <w:i/>
                <w:iCs/>
                <w:szCs w:val="22"/>
                <w:lang w:val="es-NI" w:eastAsia="es-NI"/>
              </w:rPr>
              <w:t>Total</w:t>
            </w:r>
          </w:p>
        </w:tc>
        <w:tc>
          <w:tcPr>
            <w:tcW w:w="989" w:type="dxa"/>
            <w:tcBorders>
              <w:top w:val="nil"/>
              <w:left w:val="nil"/>
              <w:bottom w:val="single" w:sz="4" w:space="0" w:color="auto"/>
              <w:right w:val="single" w:sz="4" w:space="0" w:color="auto"/>
            </w:tcBorders>
            <w:shd w:val="clear" w:color="auto" w:fill="auto"/>
            <w:vAlign w:val="center"/>
            <w:hideMark/>
          </w:tcPr>
          <w:p w14:paraId="745579D9" w14:textId="77777777" w:rsidR="000E0BB4" w:rsidRPr="00D16DDF" w:rsidRDefault="000E0BB4" w:rsidP="004D6349">
            <w:pPr>
              <w:jc w:val="center"/>
              <w:rPr>
                <w:rFonts w:cs="Arial"/>
                <w:b/>
                <w:bCs/>
                <w:szCs w:val="22"/>
                <w:lang w:val="es-NI" w:eastAsia="es-NI"/>
              </w:rPr>
            </w:pPr>
            <w:r w:rsidRPr="00D16DDF">
              <w:rPr>
                <w:rFonts w:cs="Arial"/>
                <w:b/>
                <w:bCs/>
                <w:szCs w:val="22"/>
                <w:lang w:val="es-NI" w:eastAsia="es-NI"/>
              </w:rPr>
              <w:t>100</w:t>
            </w:r>
          </w:p>
        </w:tc>
      </w:tr>
    </w:tbl>
    <w:p w14:paraId="75815488" w14:textId="77777777" w:rsidR="006D4739" w:rsidRPr="00D16DDF" w:rsidRDefault="006D4739" w:rsidP="006D4739">
      <w:pPr>
        <w:spacing w:before="120" w:after="120"/>
        <w:ind w:right="576"/>
        <w:jc w:val="both"/>
        <w:rPr>
          <w:rFonts w:cs="Arial"/>
          <w:szCs w:val="22"/>
          <w:highlight w:val="cyan"/>
          <w:lang w:val="es-AR" w:eastAsia="en-GB"/>
        </w:rPr>
      </w:pPr>
    </w:p>
    <w:p w14:paraId="7D94E5D4" w14:textId="77777777" w:rsidR="006D4739" w:rsidRPr="00103CB1" w:rsidRDefault="006D4739" w:rsidP="00247F9F">
      <w:pPr>
        <w:spacing w:before="120" w:after="120"/>
        <w:ind w:right="107"/>
        <w:jc w:val="both"/>
        <w:rPr>
          <w:sz w:val="24"/>
          <w:szCs w:val="22"/>
          <w:lang w:val="es-AR" w:eastAsia="en-GB"/>
        </w:rPr>
      </w:pPr>
      <w:r w:rsidRPr="00103CB1">
        <w:rPr>
          <w:sz w:val="24"/>
          <w:szCs w:val="22"/>
          <w:lang w:val="es-AR" w:eastAsia="en-GB"/>
        </w:rPr>
        <w:t xml:space="preserve">El puntaje total técnico mínimo para pasar a la evaluación económica, sobre la base de </w:t>
      </w:r>
      <w:r w:rsidR="004345C1" w:rsidRPr="00103CB1">
        <w:rPr>
          <w:sz w:val="24"/>
          <w:szCs w:val="22"/>
          <w:lang w:val="es-AR" w:eastAsia="en-GB"/>
        </w:rPr>
        <w:t xml:space="preserve">100 puntos, será de </w:t>
      </w:r>
      <w:r w:rsidR="00347B8F" w:rsidRPr="00103CB1">
        <w:rPr>
          <w:sz w:val="24"/>
          <w:szCs w:val="22"/>
          <w:lang w:val="es-AR" w:eastAsia="en-GB"/>
        </w:rPr>
        <w:t>7</w:t>
      </w:r>
      <w:r w:rsidR="004345C1" w:rsidRPr="00103CB1">
        <w:rPr>
          <w:sz w:val="24"/>
          <w:szCs w:val="22"/>
          <w:lang w:val="es-AR" w:eastAsia="en-GB"/>
        </w:rPr>
        <w:t xml:space="preserve">0 puntos. </w:t>
      </w:r>
    </w:p>
    <w:p w14:paraId="5442031B" w14:textId="77777777" w:rsidR="00BF41BE" w:rsidRPr="00103CB1" w:rsidRDefault="00BF41BE" w:rsidP="00247F9F">
      <w:pPr>
        <w:ind w:right="107"/>
        <w:jc w:val="both"/>
        <w:rPr>
          <w:sz w:val="24"/>
          <w:szCs w:val="22"/>
          <w:lang w:val="es-NI"/>
        </w:rPr>
      </w:pPr>
      <w:r w:rsidRPr="00103CB1">
        <w:rPr>
          <w:sz w:val="24"/>
          <w:szCs w:val="22"/>
          <w:lang w:val="es-NI"/>
        </w:rPr>
        <w:t xml:space="preserve">La propuesta económica se evaluará con el </w:t>
      </w:r>
      <w:r w:rsidRPr="00103CB1">
        <w:rPr>
          <w:b/>
          <w:sz w:val="24"/>
          <w:szCs w:val="22"/>
          <w:lang w:val="es-NI"/>
        </w:rPr>
        <w:t>método de ponderación</w:t>
      </w:r>
      <w:r w:rsidRPr="00103CB1">
        <w:rPr>
          <w:sz w:val="24"/>
          <w:szCs w:val="22"/>
          <w:lang w:val="es-NI"/>
        </w:rPr>
        <w:t>, aplicando la siguiente fórmula:</w:t>
      </w:r>
    </w:p>
    <w:p w14:paraId="037DFDDA" w14:textId="77777777" w:rsidR="00BF41BE" w:rsidRPr="00103CB1" w:rsidRDefault="00BF41BE" w:rsidP="00247F9F">
      <w:pPr>
        <w:ind w:right="107"/>
        <w:jc w:val="both"/>
        <w:rPr>
          <w:sz w:val="24"/>
          <w:szCs w:val="22"/>
          <w:highlight w:val="yellow"/>
          <w:lang w:val="es-NI"/>
        </w:rPr>
      </w:pPr>
    </w:p>
    <w:p w14:paraId="13803BE9" w14:textId="77777777" w:rsidR="00BF41BE" w:rsidRPr="00D16DDF" w:rsidRDefault="00BF41BE" w:rsidP="00247F9F">
      <w:pPr>
        <w:ind w:right="107"/>
        <w:jc w:val="both"/>
        <w:rPr>
          <w:szCs w:val="22"/>
          <w:lang w:val="es-NI"/>
        </w:rPr>
      </w:pPr>
      <w:r w:rsidRPr="00D16DDF">
        <w:rPr>
          <w:b/>
          <w:szCs w:val="22"/>
          <w:lang w:val="es-NI"/>
        </w:rPr>
        <w:t>Fórmula:    P =</w:t>
      </w:r>
      <w:r w:rsidRPr="00D16DDF">
        <w:rPr>
          <w:b/>
          <w:szCs w:val="22"/>
          <w:u w:val="single"/>
          <w:lang w:val="es-NI"/>
        </w:rPr>
        <w:t>Puntaje máximo (*) x monto propuesta más baja</w:t>
      </w:r>
    </w:p>
    <w:p w14:paraId="39871776" w14:textId="77777777" w:rsidR="00BF41BE" w:rsidRPr="00D16DDF" w:rsidRDefault="00BF41BE" w:rsidP="00247F9F">
      <w:pPr>
        <w:ind w:left="708" w:right="107" w:firstLine="708"/>
        <w:jc w:val="both"/>
        <w:rPr>
          <w:b/>
          <w:szCs w:val="22"/>
          <w:lang w:val="es-NI"/>
        </w:rPr>
      </w:pPr>
      <w:r w:rsidRPr="00D16DDF">
        <w:rPr>
          <w:b/>
          <w:szCs w:val="22"/>
          <w:lang w:val="es-NI"/>
        </w:rPr>
        <w:t xml:space="preserve"> </w:t>
      </w:r>
      <w:r w:rsidR="0064266B" w:rsidRPr="00D16DDF">
        <w:rPr>
          <w:b/>
          <w:szCs w:val="22"/>
          <w:lang w:val="es-NI"/>
        </w:rPr>
        <w:t>Monto propuesto</w:t>
      </w:r>
      <w:r w:rsidRPr="00D16DDF">
        <w:rPr>
          <w:b/>
          <w:szCs w:val="22"/>
          <w:lang w:val="es-NI"/>
        </w:rPr>
        <w:t xml:space="preserve"> que está siendo evaluada</w:t>
      </w:r>
    </w:p>
    <w:p w14:paraId="0E9BDE17" w14:textId="77777777" w:rsidR="00BF41BE" w:rsidRPr="00D16DDF" w:rsidRDefault="00BF41BE" w:rsidP="00247F9F">
      <w:pPr>
        <w:pStyle w:val="ListParagraph"/>
        <w:spacing w:before="120" w:after="120"/>
        <w:ind w:left="720" w:right="107"/>
        <w:jc w:val="both"/>
        <w:rPr>
          <w:lang w:val="es-NI"/>
        </w:rPr>
      </w:pPr>
      <w:r w:rsidRPr="00D16DDF">
        <w:rPr>
          <w:lang w:val="es-NI"/>
        </w:rPr>
        <w:t xml:space="preserve">   </w:t>
      </w:r>
      <w:r w:rsidRPr="00D16DDF">
        <w:rPr>
          <w:lang w:val="es-NI"/>
        </w:rPr>
        <w:tab/>
        <w:t>*30 puntos</w:t>
      </w:r>
    </w:p>
    <w:p w14:paraId="0CA3D221" w14:textId="77777777" w:rsidR="006D4739" w:rsidRPr="00103CB1" w:rsidRDefault="006D4739" w:rsidP="00103CB1">
      <w:pPr>
        <w:shd w:val="clear" w:color="auto" w:fill="FFFFFF" w:themeFill="background1"/>
        <w:spacing w:after="120"/>
        <w:ind w:right="107"/>
        <w:jc w:val="both"/>
        <w:rPr>
          <w:sz w:val="24"/>
          <w:szCs w:val="22"/>
          <w:lang w:val="es-AR" w:eastAsia="en-GB"/>
        </w:rPr>
      </w:pPr>
      <w:r w:rsidRPr="00103CB1">
        <w:rPr>
          <w:sz w:val="24"/>
          <w:szCs w:val="22"/>
          <w:lang w:val="es-AR" w:eastAsia="en-GB"/>
        </w:rPr>
        <w:t xml:space="preserve">La empresa deberá presentar una hoja resumen que facilite la identificación y calificación de los criterios establecidos en matriz, asimismo, el detalle de su experiencia y las constancias que la acrediten. Presentará adicionalmente como Capacidad Institucional entre otros temas que considere el licitador sus políticas de gestión institucional, organización, soporte administrativo y financiero, infraestructura, etc., en no más de 10 páginas. </w:t>
      </w:r>
    </w:p>
    <w:p w14:paraId="03C0F131" w14:textId="77777777" w:rsidR="006D4739" w:rsidRPr="00103CB1" w:rsidRDefault="006D4739" w:rsidP="00103CB1">
      <w:pPr>
        <w:shd w:val="clear" w:color="auto" w:fill="FFFFFF" w:themeFill="background1"/>
        <w:spacing w:after="120"/>
        <w:ind w:right="107"/>
        <w:jc w:val="both"/>
        <w:rPr>
          <w:sz w:val="24"/>
          <w:szCs w:val="22"/>
          <w:lang w:val="es-AR" w:eastAsia="en-GB"/>
        </w:rPr>
      </w:pPr>
      <w:r w:rsidRPr="00103CB1">
        <w:rPr>
          <w:sz w:val="24"/>
          <w:szCs w:val="22"/>
          <w:lang w:val="es-AR" w:eastAsia="en-GB"/>
        </w:rPr>
        <w:t>Los miembros del equipo auditor presentarán una hoja resumen que facilite la identificación y calificación de los criterios establecidos, asimismo, Hoja de Vida para detallar estudios académicos, diplomas obtenidos y fechas, otros estudios de interés para el proceso de selección, experiencia profesional pública y privada, señalar para ambos casos principales actividades o funciones o proyectos desarrollados, período de cada uno (mes/año), además de otros aspectos que consideren pertinen</w:t>
      </w:r>
      <w:r w:rsidR="00B44995" w:rsidRPr="00103CB1">
        <w:rPr>
          <w:sz w:val="24"/>
          <w:szCs w:val="22"/>
          <w:lang w:val="es-AR" w:eastAsia="en-GB"/>
        </w:rPr>
        <w:t>tes y demuestren su experiencia</w:t>
      </w:r>
      <w:r w:rsidRPr="00103CB1">
        <w:rPr>
          <w:sz w:val="24"/>
          <w:szCs w:val="22"/>
          <w:lang w:val="es-AR" w:eastAsia="en-GB"/>
        </w:rPr>
        <w:t>. Adjuntarán copia de las constancias que acrediten los estudios y experiencia puntuable.</w:t>
      </w:r>
    </w:p>
    <w:p w14:paraId="1BF196EE" w14:textId="77777777" w:rsidR="006D4739" w:rsidRPr="00103CB1" w:rsidRDefault="006D4739" w:rsidP="00103CB1">
      <w:pPr>
        <w:pStyle w:val="ListParagraph"/>
        <w:numPr>
          <w:ilvl w:val="0"/>
          <w:numId w:val="3"/>
        </w:numPr>
        <w:spacing w:after="120"/>
        <w:ind w:right="576"/>
        <w:jc w:val="both"/>
        <w:rPr>
          <w:b/>
          <w:bCs/>
          <w:sz w:val="24"/>
          <w:lang w:val="es-AR"/>
        </w:rPr>
      </w:pPr>
      <w:r w:rsidRPr="00103CB1">
        <w:rPr>
          <w:b/>
          <w:bCs/>
          <w:sz w:val="24"/>
          <w:lang w:val="es-AR"/>
        </w:rPr>
        <w:t>Presentación de ofertas</w:t>
      </w:r>
    </w:p>
    <w:p w14:paraId="1E37EFCC" w14:textId="77777777" w:rsidR="009D188C" w:rsidRPr="00103CB1" w:rsidRDefault="009D188C" w:rsidP="00103CB1">
      <w:pPr>
        <w:widowControl w:val="0"/>
        <w:spacing w:after="120"/>
        <w:jc w:val="both"/>
        <w:rPr>
          <w:i/>
          <w:sz w:val="24"/>
          <w:szCs w:val="22"/>
          <w:lang w:val="es-ES"/>
        </w:rPr>
      </w:pPr>
      <w:r w:rsidRPr="00103CB1">
        <w:rPr>
          <w:sz w:val="24"/>
          <w:szCs w:val="22"/>
          <w:lang w:val="es-AR"/>
        </w:rPr>
        <w:t xml:space="preserve">Si la propuesta económica es igual o mayor a U$10,000.00 o su equivalente en córdobas, La Firma Auditora deberá presentar las ofertas técnicas y económicas en sobre cerrado en original y una copia fiel dirigido a: Comité de Adjudicación - Contratación Servicio de Auditoría Externa, Proyecto </w:t>
      </w:r>
      <w:r w:rsidR="00BC7DF5" w:rsidRPr="00BC7DF5">
        <w:rPr>
          <w:b/>
          <w:bCs/>
          <w:sz w:val="24"/>
          <w:szCs w:val="20"/>
          <w:lang w:val="es-ES" w:eastAsia="en-GB"/>
        </w:rPr>
        <w:t>“Solicitud de Financiamiento – MALARIA, 2022-2024</w:t>
      </w:r>
      <w:r w:rsidR="00793C8B" w:rsidRPr="00BC7DF5">
        <w:rPr>
          <w:i/>
          <w:szCs w:val="20"/>
          <w:lang w:val="es-AR"/>
        </w:rPr>
        <w:t xml:space="preserve"> </w:t>
      </w:r>
      <w:r w:rsidRPr="00BC7DF5">
        <w:rPr>
          <w:i/>
          <w:szCs w:val="20"/>
          <w:lang w:val="es-AR"/>
        </w:rPr>
        <w:t xml:space="preserve"> </w:t>
      </w:r>
      <w:r w:rsidRPr="00103CB1">
        <w:rPr>
          <w:sz w:val="24"/>
          <w:szCs w:val="22"/>
          <w:lang w:val="es-AR"/>
        </w:rPr>
        <w:t>y especificando el nombre de la entidad que la envía, en la oficina de NICASALUD</w:t>
      </w:r>
      <w:r w:rsidRPr="00811088">
        <w:rPr>
          <w:sz w:val="24"/>
          <w:szCs w:val="22"/>
          <w:lang w:val="es-AR"/>
        </w:rPr>
        <w:t>:</w:t>
      </w:r>
      <w:r w:rsidR="00AA28D0" w:rsidRPr="00811088">
        <w:rPr>
          <w:color w:val="FF0000"/>
          <w:lang w:val="es-419"/>
        </w:rPr>
        <w:t xml:space="preserve"> </w:t>
      </w:r>
      <w:r w:rsidR="00AA28D0" w:rsidRPr="00811088">
        <w:rPr>
          <w:lang w:val="es-419"/>
        </w:rPr>
        <w:t>Reparto Villa Fontana Norte, de la Rotonda Omar Torrijos, una cuadra al Sur, media cuadra al Oeste </w:t>
      </w:r>
      <w:r w:rsidR="005C2CFA" w:rsidRPr="00811088">
        <w:rPr>
          <w:lang w:val="es-419"/>
        </w:rPr>
        <w:t xml:space="preserve">, </w:t>
      </w:r>
      <w:r w:rsidR="00AA28D0" w:rsidRPr="00811088">
        <w:rPr>
          <w:lang w:val="es-419"/>
        </w:rPr>
        <w:t xml:space="preserve"> Número 47.</w:t>
      </w:r>
      <w:r w:rsidRPr="00811088">
        <w:rPr>
          <w:sz w:val="24"/>
          <w:szCs w:val="22"/>
          <w:lang w:val="es-AR"/>
        </w:rPr>
        <w:t xml:space="preserve"> (Si el sobre no indica el concepto de la Licitación y los demás datos solicitado</w:t>
      </w:r>
      <w:r w:rsidRPr="00103CB1">
        <w:rPr>
          <w:sz w:val="24"/>
          <w:szCs w:val="22"/>
          <w:lang w:val="es-AR"/>
        </w:rPr>
        <w:t xml:space="preserve">s no será recibido) </w:t>
      </w:r>
    </w:p>
    <w:p w14:paraId="62F71596" w14:textId="77777777" w:rsidR="00066C58" w:rsidRDefault="009D188C" w:rsidP="00103CB1">
      <w:pPr>
        <w:widowControl w:val="0"/>
        <w:spacing w:after="120"/>
        <w:jc w:val="both"/>
        <w:rPr>
          <w:sz w:val="24"/>
          <w:szCs w:val="22"/>
          <w:lang w:val="es-AR" w:eastAsia="en-GB"/>
        </w:rPr>
      </w:pPr>
      <w:r w:rsidRPr="00103CB1">
        <w:rPr>
          <w:sz w:val="24"/>
          <w:szCs w:val="22"/>
          <w:lang w:val="es-MX"/>
        </w:rPr>
        <w:t xml:space="preserve">Si la propuesta económica </w:t>
      </w:r>
      <w:r w:rsidRPr="00103CB1">
        <w:rPr>
          <w:b/>
          <w:sz w:val="24"/>
          <w:szCs w:val="22"/>
          <w:lang w:val="es-MX"/>
        </w:rPr>
        <w:t>es menor a U$10,000.00</w:t>
      </w:r>
      <w:r w:rsidRPr="00103CB1">
        <w:rPr>
          <w:sz w:val="24"/>
          <w:szCs w:val="22"/>
          <w:lang w:val="es-MX"/>
        </w:rPr>
        <w:t xml:space="preserve"> o su equivalente en córdobas, la oferta debe ser enviada por correo electrónico a la dirección </w:t>
      </w:r>
      <w:hyperlink r:id="rId33" w:history="1">
        <w:r w:rsidR="00793C8B" w:rsidRPr="00954CB2">
          <w:rPr>
            <w:rStyle w:val="Hyperlink"/>
            <w:sz w:val="24"/>
            <w:szCs w:val="22"/>
            <w:lang w:val="es-MX"/>
          </w:rPr>
          <w:t>mgarrido@nicasalud.org.ni</w:t>
        </w:r>
      </w:hyperlink>
      <w:r w:rsidRPr="00103CB1">
        <w:rPr>
          <w:sz w:val="24"/>
          <w:szCs w:val="22"/>
          <w:lang w:val="es-MX"/>
        </w:rPr>
        <w:t xml:space="preserve"> con atención a Lic. Mar</w:t>
      </w:r>
      <w:r w:rsidR="00793C8B">
        <w:rPr>
          <w:sz w:val="24"/>
          <w:szCs w:val="22"/>
          <w:lang w:val="es-MX"/>
        </w:rPr>
        <w:t>tha Idalia Garrido</w:t>
      </w:r>
      <w:r w:rsidRPr="00103CB1">
        <w:rPr>
          <w:sz w:val="24"/>
          <w:szCs w:val="22"/>
          <w:lang w:val="es-MX"/>
        </w:rPr>
        <w:t xml:space="preserve">.  En el asunto indicar </w:t>
      </w:r>
      <w:r w:rsidRPr="00103CB1">
        <w:rPr>
          <w:b/>
          <w:sz w:val="24"/>
          <w:szCs w:val="22"/>
          <w:lang w:val="es-MX"/>
        </w:rPr>
        <w:t xml:space="preserve">el concepto de la Licitación </w:t>
      </w:r>
      <w:r w:rsidRPr="00103CB1">
        <w:rPr>
          <w:sz w:val="24"/>
          <w:szCs w:val="22"/>
          <w:lang w:val="es-AR" w:eastAsia="en-GB"/>
        </w:rPr>
        <w:t xml:space="preserve">Comité de Adjudicación - Contratación Servicio de Auditoría Externa, Proyecto </w:t>
      </w:r>
      <w:r w:rsidRPr="00103CB1">
        <w:rPr>
          <w:i/>
          <w:sz w:val="24"/>
          <w:szCs w:val="22"/>
          <w:lang w:val="es-AR" w:eastAsia="en-GB"/>
        </w:rPr>
        <w:t>“</w:t>
      </w:r>
      <w:r w:rsidRPr="00103CB1">
        <w:rPr>
          <w:bCs/>
          <w:i/>
          <w:sz w:val="24"/>
          <w:szCs w:val="22"/>
          <w:lang w:val="es-ES" w:eastAsia="en-GB"/>
        </w:rPr>
        <w:t>Nicaragua</w:t>
      </w:r>
      <w:r w:rsidR="00656419">
        <w:rPr>
          <w:bCs/>
          <w:i/>
          <w:sz w:val="24"/>
          <w:szCs w:val="22"/>
          <w:lang w:val="es-ES" w:eastAsia="en-GB"/>
        </w:rPr>
        <w:t>,</w:t>
      </w:r>
      <w:r w:rsidRPr="00103CB1">
        <w:rPr>
          <w:bCs/>
          <w:i/>
          <w:sz w:val="24"/>
          <w:szCs w:val="22"/>
          <w:lang w:val="es-ES" w:eastAsia="en-GB"/>
        </w:rPr>
        <w:t xml:space="preserve"> sosteniendo los logros y consolidando acciones enfocadas a la preeliminación de la Malaria</w:t>
      </w:r>
      <w:r w:rsidRPr="00103CB1">
        <w:rPr>
          <w:i/>
          <w:sz w:val="24"/>
          <w:szCs w:val="22"/>
          <w:lang w:val="es-AR" w:eastAsia="en-GB"/>
        </w:rPr>
        <w:t>” - NOTA CONCEPTUAL 20</w:t>
      </w:r>
      <w:r w:rsidR="00793C8B">
        <w:rPr>
          <w:i/>
          <w:sz w:val="24"/>
          <w:szCs w:val="22"/>
          <w:lang w:val="es-AR" w:eastAsia="en-GB"/>
        </w:rPr>
        <w:t>22</w:t>
      </w:r>
      <w:r w:rsidRPr="00103CB1">
        <w:rPr>
          <w:i/>
          <w:sz w:val="24"/>
          <w:szCs w:val="22"/>
          <w:lang w:val="es-AR" w:eastAsia="en-GB"/>
        </w:rPr>
        <w:t>-202</w:t>
      </w:r>
      <w:r w:rsidR="00793C8B">
        <w:rPr>
          <w:i/>
          <w:sz w:val="24"/>
          <w:szCs w:val="22"/>
          <w:lang w:val="es-AR" w:eastAsia="en-GB"/>
        </w:rPr>
        <w:t>4</w:t>
      </w:r>
      <w:r w:rsidRPr="00103CB1">
        <w:rPr>
          <w:i/>
          <w:sz w:val="24"/>
          <w:szCs w:val="22"/>
          <w:lang w:val="es-AR" w:eastAsia="en-GB"/>
        </w:rPr>
        <w:t xml:space="preserve"> </w:t>
      </w:r>
      <w:r w:rsidRPr="00103CB1">
        <w:rPr>
          <w:sz w:val="24"/>
          <w:szCs w:val="22"/>
          <w:lang w:val="es-AR" w:eastAsia="en-GB"/>
        </w:rPr>
        <w:t xml:space="preserve">y especificando el nombre de la entidad que la envía. </w:t>
      </w:r>
    </w:p>
    <w:p w14:paraId="3C040956" w14:textId="77777777" w:rsidR="00E2352E" w:rsidRPr="004339BB" w:rsidRDefault="00E2352E" w:rsidP="00E2352E">
      <w:pPr>
        <w:widowControl w:val="0"/>
        <w:spacing w:after="120"/>
        <w:jc w:val="both"/>
        <w:rPr>
          <w:b/>
          <w:sz w:val="24"/>
          <w:szCs w:val="22"/>
          <w:lang w:val="es-AR" w:eastAsia="en-GB"/>
        </w:rPr>
      </w:pPr>
      <w:r w:rsidRPr="004339BB">
        <w:rPr>
          <w:b/>
          <w:sz w:val="24"/>
          <w:szCs w:val="22"/>
          <w:lang w:val="es-AR" w:eastAsia="en-GB"/>
        </w:rPr>
        <w:t xml:space="preserve">La fecha de presentación de la oferta técnica y económica es a más tardar el </w:t>
      </w:r>
      <w:r w:rsidR="00FC0297" w:rsidRPr="004339BB">
        <w:rPr>
          <w:b/>
          <w:sz w:val="24"/>
          <w:szCs w:val="22"/>
          <w:lang w:val="es-AR" w:eastAsia="en-GB"/>
        </w:rPr>
        <w:t>06</w:t>
      </w:r>
      <w:r w:rsidRPr="004339BB">
        <w:rPr>
          <w:b/>
          <w:sz w:val="24"/>
          <w:szCs w:val="22"/>
          <w:lang w:val="es-AR" w:eastAsia="en-GB"/>
        </w:rPr>
        <w:t xml:space="preserve"> de </w:t>
      </w:r>
      <w:r w:rsidR="00DB5244" w:rsidRPr="004339BB">
        <w:rPr>
          <w:b/>
          <w:sz w:val="24"/>
          <w:szCs w:val="22"/>
          <w:lang w:val="es-AR" w:eastAsia="en-GB"/>
        </w:rPr>
        <w:t>enero</w:t>
      </w:r>
      <w:r w:rsidRPr="004339BB">
        <w:rPr>
          <w:b/>
          <w:sz w:val="24"/>
          <w:szCs w:val="22"/>
          <w:lang w:val="es-AR" w:eastAsia="en-GB"/>
        </w:rPr>
        <w:t xml:space="preserve"> del 202</w:t>
      </w:r>
      <w:r w:rsidR="00DB5244" w:rsidRPr="004339BB">
        <w:rPr>
          <w:b/>
          <w:sz w:val="24"/>
          <w:szCs w:val="22"/>
          <w:lang w:val="es-AR" w:eastAsia="en-GB"/>
        </w:rPr>
        <w:t>3</w:t>
      </w:r>
      <w:r w:rsidRPr="004339BB">
        <w:rPr>
          <w:b/>
          <w:sz w:val="24"/>
          <w:szCs w:val="22"/>
          <w:lang w:val="es-AR" w:eastAsia="en-GB"/>
        </w:rPr>
        <w:t>, a las 4:00 p.m.</w:t>
      </w:r>
    </w:p>
    <w:p w14:paraId="01E70D06" w14:textId="77777777" w:rsidR="00E2352E" w:rsidRPr="004339BB" w:rsidRDefault="00E2352E" w:rsidP="00E2352E">
      <w:pPr>
        <w:widowControl w:val="0"/>
        <w:spacing w:after="120"/>
        <w:jc w:val="both"/>
        <w:rPr>
          <w:sz w:val="24"/>
          <w:szCs w:val="22"/>
          <w:lang w:val="es-AR"/>
        </w:rPr>
      </w:pPr>
      <w:r w:rsidRPr="004339BB">
        <w:rPr>
          <w:sz w:val="24"/>
          <w:szCs w:val="22"/>
          <w:lang w:val="es-AR"/>
        </w:rPr>
        <w:t>No se aceptarán ofertas remitidas después de la fecha y hora de recepción establecida.</w:t>
      </w:r>
    </w:p>
    <w:p w14:paraId="17EB5E6C" w14:textId="77777777" w:rsidR="00E2352E" w:rsidRPr="004339BB" w:rsidRDefault="00E2352E" w:rsidP="00E2352E">
      <w:pPr>
        <w:widowControl w:val="0"/>
        <w:spacing w:after="120"/>
        <w:jc w:val="both"/>
        <w:rPr>
          <w:sz w:val="24"/>
          <w:szCs w:val="22"/>
          <w:lang w:val="es-AR"/>
        </w:rPr>
      </w:pPr>
      <w:r w:rsidRPr="004339BB">
        <w:rPr>
          <w:sz w:val="24"/>
          <w:szCs w:val="22"/>
          <w:lang w:val="es-AR"/>
        </w:rPr>
        <w:t xml:space="preserve">Consultas o inquietudes sobre los términos de referencia deberán ser evacuados en </w:t>
      </w:r>
      <w:r w:rsidRPr="004339BB">
        <w:rPr>
          <w:b/>
          <w:sz w:val="24"/>
          <w:szCs w:val="22"/>
          <w:lang w:val="es-AR"/>
        </w:rPr>
        <w:t>Reunión de Homologación</w:t>
      </w:r>
      <w:r w:rsidRPr="004339BB">
        <w:rPr>
          <w:sz w:val="24"/>
          <w:szCs w:val="22"/>
          <w:lang w:val="es-AR"/>
        </w:rPr>
        <w:t xml:space="preserve"> dirigida a las firmas interesadas en participar de esta convocatoria, la cual se realizará </w:t>
      </w:r>
      <w:r w:rsidRPr="004339BB">
        <w:rPr>
          <w:b/>
          <w:sz w:val="24"/>
          <w:szCs w:val="22"/>
          <w:lang w:val="es-AR"/>
        </w:rPr>
        <w:t xml:space="preserve">el día </w:t>
      </w:r>
      <w:r w:rsidR="00ED5C6C" w:rsidRPr="004339BB">
        <w:rPr>
          <w:b/>
          <w:sz w:val="24"/>
          <w:szCs w:val="22"/>
          <w:lang w:val="es-AR"/>
        </w:rPr>
        <w:t>lunes</w:t>
      </w:r>
      <w:r w:rsidR="00492FDC" w:rsidRPr="004339BB">
        <w:rPr>
          <w:b/>
          <w:sz w:val="24"/>
          <w:szCs w:val="22"/>
          <w:lang w:val="es-AR"/>
        </w:rPr>
        <w:t xml:space="preserve"> </w:t>
      </w:r>
      <w:r w:rsidR="00FC0297" w:rsidRPr="004339BB">
        <w:rPr>
          <w:b/>
          <w:sz w:val="24"/>
          <w:szCs w:val="22"/>
          <w:lang w:val="es-AR"/>
        </w:rPr>
        <w:t>27</w:t>
      </w:r>
      <w:r w:rsidRPr="004339BB">
        <w:rPr>
          <w:b/>
          <w:sz w:val="24"/>
          <w:szCs w:val="22"/>
          <w:lang w:val="es-AR"/>
        </w:rPr>
        <w:t xml:space="preserve"> de </w:t>
      </w:r>
      <w:r w:rsidR="00DB5244" w:rsidRPr="004339BB">
        <w:rPr>
          <w:b/>
          <w:sz w:val="24"/>
          <w:szCs w:val="22"/>
          <w:lang w:val="es-AR"/>
        </w:rPr>
        <w:t>dici</w:t>
      </w:r>
      <w:r w:rsidRPr="004339BB">
        <w:rPr>
          <w:b/>
          <w:sz w:val="24"/>
          <w:szCs w:val="22"/>
          <w:lang w:val="es-AR"/>
        </w:rPr>
        <w:t>embre</w:t>
      </w:r>
      <w:r w:rsidR="00FC0297" w:rsidRPr="004339BB">
        <w:rPr>
          <w:b/>
          <w:sz w:val="24"/>
          <w:szCs w:val="22"/>
          <w:lang w:val="es-AR"/>
        </w:rPr>
        <w:t xml:space="preserve"> 2022, a las 10:00 a</w:t>
      </w:r>
      <w:r w:rsidRPr="004339BB">
        <w:rPr>
          <w:b/>
          <w:sz w:val="24"/>
          <w:szCs w:val="22"/>
          <w:lang w:val="es-AR"/>
        </w:rPr>
        <w:t>.m.</w:t>
      </w:r>
      <w:r w:rsidR="00FC0297" w:rsidRPr="004339BB">
        <w:rPr>
          <w:b/>
          <w:sz w:val="24"/>
          <w:szCs w:val="22"/>
          <w:lang w:val="es-AR"/>
        </w:rPr>
        <w:t xml:space="preserve"> a 12 meridiano</w:t>
      </w:r>
      <w:r w:rsidRPr="004339BB">
        <w:rPr>
          <w:b/>
          <w:sz w:val="24"/>
          <w:szCs w:val="22"/>
          <w:lang w:val="es-AR"/>
        </w:rPr>
        <w:t xml:space="preserve"> en las oficinas de Federación Red NicaSalud</w:t>
      </w:r>
      <w:r w:rsidRPr="004339BB">
        <w:rPr>
          <w:sz w:val="24"/>
          <w:szCs w:val="22"/>
          <w:lang w:val="es-AR"/>
        </w:rPr>
        <w:t xml:space="preserve">.  Se solicita a las firmas interesadas a confirmar su participación en esta reunión a la Lic. Martha Idalia Garrido, correo electrónico:  </w:t>
      </w:r>
      <w:hyperlink r:id="rId34" w:history="1">
        <w:r w:rsidRPr="004339BB">
          <w:rPr>
            <w:rStyle w:val="Hyperlink"/>
            <w:sz w:val="24"/>
            <w:szCs w:val="22"/>
            <w:lang w:val="es-AR"/>
          </w:rPr>
          <w:t>mgarrido@nicasalud.org.ni</w:t>
        </w:r>
      </w:hyperlink>
      <w:r w:rsidRPr="004339BB">
        <w:rPr>
          <w:sz w:val="24"/>
          <w:szCs w:val="22"/>
          <w:lang w:val="es-AR"/>
        </w:rPr>
        <w:t xml:space="preserve"> o bien confirmar a los teléf</w:t>
      </w:r>
      <w:r w:rsidR="00ED5C6C" w:rsidRPr="004339BB">
        <w:rPr>
          <w:sz w:val="24"/>
          <w:szCs w:val="22"/>
          <w:lang w:val="es-AR"/>
        </w:rPr>
        <w:t xml:space="preserve">onos No. 22700099 ó 75169199.  </w:t>
      </w:r>
      <w:r w:rsidRPr="004339BB">
        <w:rPr>
          <w:sz w:val="24"/>
          <w:szCs w:val="22"/>
          <w:lang w:val="es-AR"/>
        </w:rPr>
        <w:t>Posterior a esta reunión de homologación no se aceptarán consultas.</w:t>
      </w:r>
    </w:p>
    <w:p w14:paraId="3B921467" w14:textId="77777777" w:rsidR="00D00392" w:rsidRPr="004339BB" w:rsidRDefault="00D00392" w:rsidP="00103CB1">
      <w:pPr>
        <w:widowControl w:val="0"/>
        <w:spacing w:after="120"/>
        <w:jc w:val="both"/>
        <w:rPr>
          <w:sz w:val="24"/>
          <w:szCs w:val="22"/>
          <w:lang w:val="es-AR"/>
        </w:rPr>
      </w:pPr>
      <w:r w:rsidRPr="004339BB">
        <w:rPr>
          <w:sz w:val="24"/>
          <w:szCs w:val="22"/>
          <w:lang w:val="es-AR"/>
        </w:rPr>
        <w:t xml:space="preserve">Este </w:t>
      </w:r>
      <w:r w:rsidR="000E0BB4" w:rsidRPr="004339BB">
        <w:rPr>
          <w:sz w:val="24"/>
          <w:szCs w:val="22"/>
          <w:lang w:val="es-AR"/>
        </w:rPr>
        <w:t>p</w:t>
      </w:r>
      <w:r w:rsidRPr="004339BB">
        <w:rPr>
          <w:sz w:val="24"/>
          <w:szCs w:val="22"/>
          <w:lang w:val="es-AR"/>
        </w:rPr>
        <w:t>royecto está exento de pago de IVA.  El oferente deberá indicar en su oferta el código SAC del servicio de auditoría a efectos de emitir el respectivo documento de exoneración de IVA - CCT.</w:t>
      </w:r>
    </w:p>
    <w:p w14:paraId="6E25829D" w14:textId="77777777" w:rsidR="009D188C" w:rsidRPr="004339BB" w:rsidRDefault="00AA28D0" w:rsidP="00103CB1">
      <w:pPr>
        <w:widowControl w:val="0"/>
        <w:spacing w:after="120"/>
        <w:jc w:val="both"/>
        <w:rPr>
          <w:sz w:val="24"/>
          <w:szCs w:val="22"/>
          <w:lang w:val="es-AR"/>
        </w:rPr>
      </w:pPr>
      <w:r w:rsidRPr="004339BB">
        <w:rPr>
          <w:sz w:val="24"/>
          <w:szCs w:val="22"/>
          <w:lang w:val="es-AR"/>
        </w:rPr>
        <w:t xml:space="preserve">Al </w:t>
      </w:r>
      <w:r w:rsidR="009D188C" w:rsidRPr="004339BB">
        <w:rPr>
          <w:sz w:val="24"/>
          <w:szCs w:val="22"/>
          <w:lang w:val="es-AR"/>
        </w:rPr>
        <w:t>oferente ganador se le solicitará una garantía de cumplimiento del 7% del monto total de la oferta. Siempre y cuando la oferta económica sea mayor a U$5,000.00 o su equivalente en córdobas.</w:t>
      </w:r>
    </w:p>
    <w:p w14:paraId="3010C104" w14:textId="77777777" w:rsidR="003F1C9E" w:rsidRPr="004339BB" w:rsidRDefault="003F1C9E" w:rsidP="00103CB1">
      <w:pPr>
        <w:widowControl w:val="0"/>
        <w:spacing w:after="120"/>
        <w:jc w:val="both"/>
        <w:rPr>
          <w:sz w:val="24"/>
          <w:szCs w:val="22"/>
          <w:lang w:val="es-AR"/>
        </w:rPr>
      </w:pPr>
      <w:r w:rsidRPr="004339BB">
        <w:rPr>
          <w:b/>
          <w:bCs/>
          <w:sz w:val="24"/>
          <w:szCs w:val="22"/>
          <w:lang w:val="es-AR"/>
        </w:rPr>
        <w:t>Recomendación general</w:t>
      </w:r>
      <w:r w:rsidRPr="004339BB">
        <w:rPr>
          <w:sz w:val="24"/>
          <w:szCs w:val="22"/>
          <w:lang w:val="es-AR"/>
        </w:rPr>
        <w:t xml:space="preserve">. Se recomienda a las empresas/oferentes interesados en presentar </w:t>
      </w:r>
      <w:r w:rsidR="008C30D5" w:rsidRPr="004339BB">
        <w:rPr>
          <w:sz w:val="24"/>
          <w:szCs w:val="22"/>
          <w:lang w:val="es-AR"/>
        </w:rPr>
        <w:t>o</w:t>
      </w:r>
      <w:r w:rsidRPr="004339BB">
        <w:rPr>
          <w:sz w:val="24"/>
          <w:szCs w:val="22"/>
          <w:lang w:val="es-AR"/>
        </w:rPr>
        <w:t xml:space="preserve">fertas, revisar cuidadosamente las condiciones generales establecidas en estos TDR, para evitar omisiones que pudieran descalificarlos, invalidarlos o excluirlos. </w:t>
      </w:r>
    </w:p>
    <w:p w14:paraId="0DC97339" w14:textId="77777777" w:rsidR="003F1C9E" w:rsidRPr="00103CB1" w:rsidRDefault="003F1C9E" w:rsidP="00103CB1">
      <w:pPr>
        <w:widowControl w:val="0"/>
        <w:spacing w:after="120"/>
        <w:jc w:val="both"/>
        <w:rPr>
          <w:b/>
          <w:bCs/>
          <w:sz w:val="24"/>
          <w:szCs w:val="22"/>
          <w:lang w:val="es-AR" w:eastAsia="en-GB"/>
        </w:rPr>
      </w:pPr>
      <w:r w:rsidRPr="00103CB1">
        <w:rPr>
          <w:b/>
          <w:bCs/>
          <w:sz w:val="24"/>
          <w:szCs w:val="22"/>
          <w:lang w:val="es-AR" w:eastAsia="en-GB"/>
        </w:rPr>
        <w:t>El oferente deberá anexar en su oferta copia de Cédula RUC vigente y solvencia fiscal vigente.  Asimismo, debe garantizar el uso de factura legal membretada con pie de imprenta.</w:t>
      </w:r>
    </w:p>
    <w:p w14:paraId="0456111A" w14:textId="3136EBDF" w:rsidR="006D4739" w:rsidRDefault="006D4739" w:rsidP="00103CB1">
      <w:pPr>
        <w:widowControl w:val="0"/>
        <w:spacing w:after="120"/>
        <w:jc w:val="both"/>
        <w:rPr>
          <w:sz w:val="24"/>
          <w:szCs w:val="22"/>
          <w:lang w:val="es-AR"/>
        </w:rPr>
      </w:pPr>
      <w:r w:rsidRPr="00103CB1">
        <w:rPr>
          <w:sz w:val="24"/>
          <w:szCs w:val="22"/>
          <w:lang w:val="es-AR"/>
        </w:rPr>
        <w:t xml:space="preserve">Se tienen estipulados 45 días </w:t>
      </w:r>
      <w:r w:rsidR="00BF41BE" w:rsidRPr="00103CB1">
        <w:rPr>
          <w:sz w:val="24"/>
          <w:szCs w:val="22"/>
          <w:lang w:val="es-AR"/>
        </w:rPr>
        <w:t xml:space="preserve">calendarios </w:t>
      </w:r>
      <w:r w:rsidRPr="00103CB1">
        <w:rPr>
          <w:sz w:val="24"/>
          <w:szCs w:val="22"/>
          <w:lang w:val="es-AR"/>
        </w:rPr>
        <w:t xml:space="preserve">para la ejecución de esta </w:t>
      </w:r>
      <w:r w:rsidR="00391840" w:rsidRPr="00103CB1">
        <w:rPr>
          <w:sz w:val="24"/>
          <w:szCs w:val="22"/>
          <w:lang w:val="es-AR"/>
        </w:rPr>
        <w:t>Auditoría</w:t>
      </w:r>
      <w:r w:rsidRPr="00103CB1">
        <w:rPr>
          <w:sz w:val="24"/>
          <w:szCs w:val="22"/>
          <w:lang w:val="es-AR"/>
        </w:rPr>
        <w:t xml:space="preserve"> Externa, los cuales inician a </w:t>
      </w:r>
      <w:r w:rsidR="003B7BB3" w:rsidRPr="00103CB1">
        <w:rPr>
          <w:sz w:val="24"/>
          <w:szCs w:val="22"/>
          <w:lang w:val="es-AR"/>
        </w:rPr>
        <w:t>partir de</w:t>
      </w:r>
      <w:r w:rsidRPr="00103CB1">
        <w:rPr>
          <w:sz w:val="24"/>
          <w:szCs w:val="22"/>
          <w:lang w:val="es-AR"/>
        </w:rPr>
        <w:t xml:space="preserve"> la firma del correspondiente cont</w:t>
      </w:r>
      <w:r w:rsidR="00534A73" w:rsidRPr="00103CB1">
        <w:rPr>
          <w:sz w:val="24"/>
          <w:szCs w:val="22"/>
          <w:lang w:val="es-AR"/>
        </w:rPr>
        <w:t xml:space="preserve">rato de Servicios Profesionales, se debe establecer compromisos </w:t>
      </w:r>
      <w:r w:rsidR="003B7BB3" w:rsidRPr="00103CB1">
        <w:rPr>
          <w:sz w:val="24"/>
          <w:szCs w:val="22"/>
          <w:lang w:val="es-AR"/>
        </w:rPr>
        <w:t>en periodos</w:t>
      </w:r>
      <w:r w:rsidR="007B44D2" w:rsidRPr="00103CB1">
        <w:rPr>
          <w:sz w:val="24"/>
          <w:szCs w:val="22"/>
          <w:lang w:val="es-AR"/>
        </w:rPr>
        <w:t xml:space="preserve"> anuales que </w:t>
      </w:r>
      <w:r w:rsidR="003B7BB3" w:rsidRPr="00103CB1">
        <w:rPr>
          <w:sz w:val="24"/>
          <w:szCs w:val="22"/>
          <w:lang w:val="es-AR"/>
        </w:rPr>
        <w:t xml:space="preserve">van </w:t>
      </w:r>
      <w:r w:rsidR="003B7BB3" w:rsidRPr="00D01DE4">
        <w:rPr>
          <w:sz w:val="24"/>
          <w:szCs w:val="22"/>
          <w:lang w:val="es-AR"/>
        </w:rPr>
        <w:t>del</w:t>
      </w:r>
      <w:r w:rsidR="00534A73" w:rsidRPr="00D01DE4">
        <w:rPr>
          <w:sz w:val="24"/>
          <w:szCs w:val="22"/>
          <w:lang w:val="es-AR"/>
        </w:rPr>
        <w:t xml:space="preserve"> </w:t>
      </w:r>
      <w:r w:rsidR="00E2352E" w:rsidRPr="00D01DE4">
        <w:rPr>
          <w:sz w:val="24"/>
          <w:szCs w:val="22"/>
          <w:lang w:val="es-AR"/>
        </w:rPr>
        <w:t>0</w:t>
      </w:r>
      <w:r w:rsidR="002E0962" w:rsidRPr="00D01DE4">
        <w:rPr>
          <w:sz w:val="24"/>
          <w:szCs w:val="22"/>
          <w:lang w:val="es-AR"/>
        </w:rPr>
        <w:t>8</w:t>
      </w:r>
      <w:r w:rsidR="00E2352E" w:rsidRPr="00D01DE4">
        <w:rPr>
          <w:sz w:val="24"/>
          <w:szCs w:val="22"/>
          <w:lang w:val="es-AR"/>
        </w:rPr>
        <w:t xml:space="preserve"> </w:t>
      </w:r>
      <w:r w:rsidR="00534A73" w:rsidRPr="00D01DE4">
        <w:rPr>
          <w:sz w:val="24"/>
          <w:szCs w:val="22"/>
          <w:lang w:val="es-AR"/>
        </w:rPr>
        <w:t xml:space="preserve">de </w:t>
      </w:r>
      <w:r w:rsidR="00E2352E" w:rsidRPr="00D01DE4">
        <w:rPr>
          <w:sz w:val="24"/>
          <w:szCs w:val="22"/>
          <w:lang w:val="es-AR"/>
        </w:rPr>
        <w:t xml:space="preserve">febrero </w:t>
      </w:r>
      <w:r w:rsidR="002F26E8" w:rsidRPr="00D01DE4">
        <w:rPr>
          <w:sz w:val="24"/>
          <w:szCs w:val="22"/>
          <w:lang w:val="es-AR"/>
        </w:rPr>
        <w:t>20</w:t>
      </w:r>
      <w:r w:rsidR="00E2352E" w:rsidRPr="00D01DE4">
        <w:rPr>
          <w:sz w:val="24"/>
          <w:szCs w:val="22"/>
          <w:lang w:val="es-AR"/>
        </w:rPr>
        <w:t>23</w:t>
      </w:r>
      <w:r w:rsidR="00083203" w:rsidRPr="00D01DE4">
        <w:rPr>
          <w:sz w:val="24"/>
          <w:szCs w:val="22"/>
          <w:lang w:val="es-AR"/>
        </w:rPr>
        <w:t xml:space="preserve"> al</w:t>
      </w:r>
      <w:r w:rsidR="00310562" w:rsidRPr="00D01DE4">
        <w:rPr>
          <w:sz w:val="24"/>
          <w:szCs w:val="22"/>
          <w:lang w:val="es-AR"/>
        </w:rPr>
        <w:t xml:space="preserve"> </w:t>
      </w:r>
      <w:r w:rsidR="002E0962" w:rsidRPr="00D01DE4">
        <w:rPr>
          <w:sz w:val="24"/>
          <w:szCs w:val="22"/>
          <w:lang w:val="es-AR"/>
        </w:rPr>
        <w:t>24</w:t>
      </w:r>
      <w:r w:rsidR="00E2352E" w:rsidRPr="00D01DE4">
        <w:rPr>
          <w:sz w:val="24"/>
          <w:szCs w:val="22"/>
          <w:lang w:val="es-AR"/>
        </w:rPr>
        <w:t xml:space="preserve"> </w:t>
      </w:r>
      <w:r w:rsidR="00310562" w:rsidRPr="00D01DE4">
        <w:rPr>
          <w:sz w:val="24"/>
          <w:szCs w:val="22"/>
          <w:lang w:val="es-AR"/>
        </w:rPr>
        <w:t xml:space="preserve">de </w:t>
      </w:r>
      <w:r w:rsidR="00083203" w:rsidRPr="00D01DE4">
        <w:rPr>
          <w:sz w:val="24"/>
          <w:szCs w:val="22"/>
          <w:lang w:val="es-AR"/>
        </w:rPr>
        <w:t>marzo</w:t>
      </w:r>
      <w:r w:rsidR="00310562" w:rsidRPr="00D01DE4">
        <w:rPr>
          <w:sz w:val="24"/>
          <w:szCs w:val="22"/>
          <w:lang w:val="es-AR"/>
        </w:rPr>
        <w:t xml:space="preserve"> </w:t>
      </w:r>
      <w:r w:rsidR="007B44D2" w:rsidRPr="00D01DE4">
        <w:rPr>
          <w:sz w:val="24"/>
          <w:szCs w:val="22"/>
          <w:lang w:val="es-AR"/>
        </w:rPr>
        <w:t>de</w:t>
      </w:r>
      <w:r w:rsidR="002F26E8" w:rsidRPr="00D01DE4">
        <w:rPr>
          <w:sz w:val="24"/>
          <w:szCs w:val="22"/>
          <w:lang w:val="es-AR"/>
        </w:rPr>
        <w:t xml:space="preserve">l </w:t>
      </w:r>
      <w:r w:rsidR="00E2352E" w:rsidRPr="00D01DE4">
        <w:rPr>
          <w:sz w:val="24"/>
          <w:szCs w:val="22"/>
          <w:lang w:val="es-AR"/>
        </w:rPr>
        <w:t>2023; 0</w:t>
      </w:r>
      <w:r w:rsidR="00DB5244" w:rsidRPr="00D01DE4">
        <w:rPr>
          <w:sz w:val="24"/>
          <w:szCs w:val="22"/>
          <w:lang w:val="es-AR"/>
        </w:rPr>
        <w:t>5 de febrero 2024 al 20</w:t>
      </w:r>
      <w:r w:rsidR="00E2352E" w:rsidRPr="00D01DE4">
        <w:rPr>
          <w:sz w:val="24"/>
          <w:szCs w:val="22"/>
          <w:lang w:val="es-AR"/>
        </w:rPr>
        <w:t xml:space="preserve"> de marzo 2024 y 03 de febrero 2025 al 19 de marzo 2025</w:t>
      </w:r>
      <w:r w:rsidR="000E0BB4" w:rsidRPr="00D01DE4">
        <w:rPr>
          <w:sz w:val="24"/>
          <w:szCs w:val="22"/>
          <w:lang w:val="es-AR"/>
        </w:rPr>
        <w:t>.</w:t>
      </w:r>
      <w:r w:rsidR="00083203" w:rsidRPr="00D01DE4">
        <w:rPr>
          <w:sz w:val="24"/>
          <w:szCs w:val="22"/>
          <w:lang w:val="es-AR"/>
        </w:rPr>
        <w:t xml:space="preserve"> Se</w:t>
      </w:r>
      <w:r w:rsidRPr="00D01DE4">
        <w:rPr>
          <w:sz w:val="24"/>
          <w:szCs w:val="22"/>
          <w:lang w:val="es-AR"/>
        </w:rPr>
        <w:t xml:space="preserve"> requiere que la firma auditora defina </w:t>
      </w:r>
      <w:r w:rsidR="00BF41BE" w:rsidRPr="00D01DE4">
        <w:rPr>
          <w:sz w:val="24"/>
          <w:szCs w:val="22"/>
          <w:lang w:val="es-AR"/>
        </w:rPr>
        <w:t>en su propuesta</w:t>
      </w:r>
      <w:r w:rsidR="00BF41BE" w:rsidRPr="00103CB1">
        <w:rPr>
          <w:sz w:val="24"/>
          <w:szCs w:val="22"/>
          <w:lang w:val="es-AR"/>
        </w:rPr>
        <w:t xml:space="preserve"> </w:t>
      </w:r>
      <w:r w:rsidRPr="00103CB1">
        <w:rPr>
          <w:sz w:val="24"/>
          <w:szCs w:val="22"/>
          <w:lang w:val="es-AR"/>
        </w:rPr>
        <w:t xml:space="preserve">el tiempo previsto para la realización de la auditoría. </w:t>
      </w:r>
      <w:r w:rsidR="00BF41BE" w:rsidRPr="00103CB1">
        <w:rPr>
          <w:sz w:val="24"/>
          <w:szCs w:val="22"/>
          <w:lang w:val="es-AR"/>
        </w:rPr>
        <w:t xml:space="preserve"> </w:t>
      </w:r>
      <w:r w:rsidRPr="00103CB1">
        <w:rPr>
          <w:sz w:val="24"/>
          <w:szCs w:val="22"/>
          <w:lang w:val="es-AR"/>
        </w:rPr>
        <w:t xml:space="preserve">Esta oferta debe presentar un cronograma de trabajo, que detalle las fases de la auditoria y la entrega del informe (preliminar y final) tal y como se </w:t>
      </w:r>
      <w:r w:rsidR="004345C1" w:rsidRPr="00103CB1">
        <w:rPr>
          <w:sz w:val="24"/>
          <w:szCs w:val="22"/>
          <w:lang w:val="es-AR"/>
        </w:rPr>
        <w:t>indica en el siguiente formato:</w:t>
      </w:r>
    </w:p>
    <w:p w14:paraId="74DAB92E" w14:textId="77777777" w:rsidR="00BC7DF5" w:rsidRDefault="00BC7DF5" w:rsidP="00103CB1">
      <w:pPr>
        <w:widowControl w:val="0"/>
        <w:spacing w:after="120"/>
        <w:jc w:val="both"/>
        <w:rPr>
          <w:sz w:val="24"/>
          <w:szCs w:val="22"/>
          <w:lang w:val="es-AR"/>
        </w:rPr>
      </w:pPr>
    </w:p>
    <w:p w14:paraId="05FF1665" w14:textId="77777777" w:rsidR="00BC7DF5" w:rsidRDefault="00BC7DF5" w:rsidP="00103CB1">
      <w:pPr>
        <w:widowControl w:val="0"/>
        <w:spacing w:after="120"/>
        <w:jc w:val="both"/>
        <w:rPr>
          <w:sz w:val="24"/>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505"/>
        <w:gridCol w:w="506"/>
        <w:gridCol w:w="506"/>
        <w:gridCol w:w="508"/>
        <w:gridCol w:w="2064"/>
        <w:gridCol w:w="1903"/>
      </w:tblGrid>
      <w:tr w:rsidR="006D4739" w:rsidRPr="00103CB1" w14:paraId="7DD48208" w14:textId="77777777" w:rsidTr="00BC7DF5">
        <w:trPr>
          <w:cantSplit/>
          <w:trHeight w:val="247"/>
        </w:trPr>
        <w:tc>
          <w:tcPr>
            <w:tcW w:w="3636" w:type="dxa"/>
            <w:vMerge w:val="restart"/>
          </w:tcPr>
          <w:p w14:paraId="260ADDC3" w14:textId="77777777" w:rsidR="006D4739" w:rsidRPr="00103CB1" w:rsidRDefault="006D4739" w:rsidP="00247F9F">
            <w:pPr>
              <w:widowControl w:val="0"/>
              <w:rPr>
                <w:rFonts w:cs="Arial"/>
                <w:szCs w:val="22"/>
                <w:lang w:val="es-AR" w:eastAsia="en-GB"/>
              </w:rPr>
            </w:pPr>
            <w:r w:rsidRPr="00103CB1">
              <w:rPr>
                <w:rFonts w:cs="Arial"/>
                <w:szCs w:val="22"/>
                <w:lang w:val="es-AR" w:eastAsia="en-GB"/>
              </w:rPr>
              <w:t>Actividad</w:t>
            </w:r>
          </w:p>
        </w:tc>
        <w:tc>
          <w:tcPr>
            <w:tcW w:w="2025" w:type="dxa"/>
            <w:gridSpan w:val="4"/>
          </w:tcPr>
          <w:p w14:paraId="09EA36BE" w14:textId="77777777" w:rsidR="006D4739" w:rsidRPr="00103CB1" w:rsidRDefault="006D4739" w:rsidP="00CC355B">
            <w:pPr>
              <w:widowControl w:val="0"/>
              <w:jc w:val="center"/>
              <w:rPr>
                <w:rFonts w:cs="Arial"/>
                <w:szCs w:val="22"/>
                <w:lang w:val="es-AR" w:eastAsia="en-GB"/>
              </w:rPr>
            </w:pPr>
            <w:r w:rsidRPr="00103CB1">
              <w:rPr>
                <w:rFonts w:cs="Arial"/>
                <w:szCs w:val="22"/>
                <w:lang w:val="es-AR" w:eastAsia="en-GB"/>
              </w:rPr>
              <w:t>Semana</w:t>
            </w:r>
          </w:p>
        </w:tc>
        <w:tc>
          <w:tcPr>
            <w:tcW w:w="2064" w:type="dxa"/>
            <w:vMerge w:val="restart"/>
          </w:tcPr>
          <w:p w14:paraId="7942D3A3" w14:textId="77777777" w:rsidR="006D4739" w:rsidRPr="00103CB1" w:rsidRDefault="006D4739" w:rsidP="00CC355B">
            <w:pPr>
              <w:widowControl w:val="0"/>
              <w:jc w:val="center"/>
              <w:rPr>
                <w:rFonts w:cs="Arial"/>
                <w:szCs w:val="22"/>
                <w:lang w:val="es-AR" w:eastAsia="en-GB"/>
              </w:rPr>
            </w:pPr>
            <w:r w:rsidRPr="00103CB1">
              <w:rPr>
                <w:rFonts w:cs="Arial"/>
                <w:szCs w:val="22"/>
                <w:lang w:val="es-AR" w:eastAsia="en-GB"/>
              </w:rPr>
              <w:t>Participan</w:t>
            </w:r>
          </w:p>
        </w:tc>
        <w:tc>
          <w:tcPr>
            <w:tcW w:w="1903" w:type="dxa"/>
            <w:vMerge w:val="restart"/>
          </w:tcPr>
          <w:p w14:paraId="13BE1266" w14:textId="77777777" w:rsidR="006D4739" w:rsidRPr="00103CB1" w:rsidRDefault="006D4739" w:rsidP="00CC355B">
            <w:pPr>
              <w:widowControl w:val="0"/>
              <w:jc w:val="both"/>
              <w:rPr>
                <w:rFonts w:cs="Arial"/>
                <w:szCs w:val="22"/>
                <w:lang w:val="es-AR" w:eastAsia="en-GB"/>
              </w:rPr>
            </w:pPr>
            <w:r w:rsidRPr="00103CB1">
              <w:rPr>
                <w:rFonts w:cs="Arial"/>
                <w:szCs w:val="22"/>
                <w:lang w:val="es-AR" w:eastAsia="en-GB"/>
              </w:rPr>
              <w:t>Observaciones</w:t>
            </w:r>
          </w:p>
        </w:tc>
      </w:tr>
      <w:tr w:rsidR="006D4739" w:rsidRPr="00103CB1" w14:paraId="619F5059" w14:textId="77777777" w:rsidTr="00BC7DF5">
        <w:trPr>
          <w:cantSplit/>
          <w:trHeight w:val="266"/>
        </w:trPr>
        <w:tc>
          <w:tcPr>
            <w:tcW w:w="3636" w:type="dxa"/>
            <w:vMerge/>
          </w:tcPr>
          <w:p w14:paraId="5C8D68D6" w14:textId="77777777" w:rsidR="006D4739" w:rsidRPr="00103CB1" w:rsidRDefault="006D4739" w:rsidP="00CC355B">
            <w:pPr>
              <w:widowControl w:val="0"/>
              <w:jc w:val="both"/>
              <w:rPr>
                <w:rFonts w:cs="Arial"/>
                <w:szCs w:val="22"/>
                <w:lang w:val="es-AR" w:eastAsia="en-GB"/>
              </w:rPr>
            </w:pPr>
          </w:p>
        </w:tc>
        <w:tc>
          <w:tcPr>
            <w:tcW w:w="505" w:type="dxa"/>
          </w:tcPr>
          <w:p w14:paraId="37FBC45E" w14:textId="77777777" w:rsidR="006D4739" w:rsidRPr="00103CB1" w:rsidRDefault="006D4739" w:rsidP="00CC355B">
            <w:pPr>
              <w:widowControl w:val="0"/>
              <w:jc w:val="both"/>
              <w:rPr>
                <w:rFonts w:cs="Arial"/>
                <w:szCs w:val="22"/>
                <w:lang w:val="es-AR" w:eastAsia="en-GB"/>
              </w:rPr>
            </w:pPr>
            <w:r w:rsidRPr="00103CB1">
              <w:rPr>
                <w:rFonts w:cs="Arial"/>
                <w:szCs w:val="22"/>
                <w:lang w:val="es-AR" w:eastAsia="en-GB"/>
              </w:rPr>
              <w:t>1</w:t>
            </w:r>
          </w:p>
        </w:tc>
        <w:tc>
          <w:tcPr>
            <w:tcW w:w="506" w:type="dxa"/>
          </w:tcPr>
          <w:p w14:paraId="50A90FD5" w14:textId="77777777" w:rsidR="006D4739" w:rsidRPr="00103CB1" w:rsidRDefault="006D4739" w:rsidP="00CC355B">
            <w:pPr>
              <w:widowControl w:val="0"/>
              <w:jc w:val="both"/>
              <w:rPr>
                <w:rFonts w:cs="Arial"/>
                <w:szCs w:val="22"/>
                <w:lang w:val="es-AR" w:eastAsia="en-GB"/>
              </w:rPr>
            </w:pPr>
            <w:r w:rsidRPr="00103CB1">
              <w:rPr>
                <w:rFonts w:cs="Arial"/>
                <w:szCs w:val="22"/>
                <w:lang w:val="es-AR" w:eastAsia="en-GB"/>
              </w:rPr>
              <w:t>2</w:t>
            </w:r>
          </w:p>
        </w:tc>
        <w:tc>
          <w:tcPr>
            <w:tcW w:w="506" w:type="dxa"/>
          </w:tcPr>
          <w:p w14:paraId="00D13560" w14:textId="77777777" w:rsidR="006D4739" w:rsidRPr="00103CB1" w:rsidRDefault="006D4739" w:rsidP="00CC355B">
            <w:pPr>
              <w:widowControl w:val="0"/>
              <w:jc w:val="both"/>
              <w:rPr>
                <w:rFonts w:cs="Arial"/>
                <w:szCs w:val="22"/>
                <w:lang w:val="es-AR" w:eastAsia="en-GB"/>
              </w:rPr>
            </w:pPr>
            <w:r w:rsidRPr="00103CB1">
              <w:rPr>
                <w:rFonts w:cs="Arial"/>
                <w:szCs w:val="22"/>
                <w:lang w:val="es-AR" w:eastAsia="en-GB"/>
              </w:rPr>
              <w:t>3</w:t>
            </w:r>
          </w:p>
        </w:tc>
        <w:tc>
          <w:tcPr>
            <w:tcW w:w="508" w:type="dxa"/>
          </w:tcPr>
          <w:p w14:paraId="74F952ED" w14:textId="77777777" w:rsidR="006D4739" w:rsidRPr="00103CB1" w:rsidRDefault="006D4739" w:rsidP="00CC355B">
            <w:pPr>
              <w:widowControl w:val="0"/>
              <w:jc w:val="both"/>
              <w:rPr>
                <w:rFonts w:cs="Arial"/>
                <w:szCs w:val="22"/>
                <w:lang w:val="es-AR" w:eastAsia="en-GB"/>
              </w:rPr>
            </w:pPr>
            <w:r w:rsidRPr="00103CB1">
              <w:rPr>
                <w:rFonts w:cs="Arial"/>
                <w:szCs w:val="22"/>
                <w:lang w:val="es-AR" w:eastAsia="en-GB"/>
              </w:rPr>
              <w:t>4</w:t>
            </w:r>
          </w:p>
        </w:tc>
        <w:tc>
          <w:tcPr>
            <w:tcW w:w="2064" w:type="dxa"/>
            <w:vMerge/>
          </w:tcPr>
          <w:p w14:paraId="1BEF5100" w14:textId="77777777" w:rsidR="006D4739" w:rsidRPr="00103CB1" w:rsidRDefault="006D4739" w:rsidP="00CC355B">
            <w:pPr>
              <w:widowControl w:val="0"/>
              <w:jc w:val="both"/>
              <w:rPr>
                <w:rFonts w:cs="Arial"/>
                <w:szCs w:val="22"/>
                <w:lang w:val="es-AR" w:eastAsia="en-GB"/>
              </w:rPr>
            </w:pPr>
          </w:p>
        </w:tc>
        <w:tc>
          <w:tcPr>
            <w:tcW w:w="1903" w:type="dxa"/>
            <w:vMerge/>
          </w:tcPr>
          <w:p w14:paraId="4703389A" w14:textId="77777777" w:rsidR="006D4739" w:rsidRPr="00103CB1" w:rsidRDefault="006D4739" w:rsidP="00CC355B">
            <w:pPr>
              <w:widowControl w:val="0"/>
              <w:jc w:val="both"/>
              <w:rPr>
                <w:rFonts w:cs="Arial"/>
                <w:szCs w:val="22"/>
                <w:lang w:val="es-AR" w:eastAsia="en-GB"/>
              </w:rPr>
            </w:pPr>
          </w:p>
        </w:tc>
      </w:tr>
      <w:tr w:rsidR="006D4739" w:rsidRPr="00103CB1" w14:paraId="3B22D154" w14:textId="77777777" w:rsidTr="00BC7DF5">
        <w:trPr>
          <w:trHeight w:val="247"/>
        </w:trPr>
        <w:tc>
          <w:tcPr>
            <w:tcW w:w="3636" w:type="dxa"/>
          </w:tcPr>
          <w:p w14:paraId="37DA4F75" w14:textId="77777777" w:rsidR="006D4739" w:rsidRPr="00103CB1" w:rsidRDefault="006D4739" w:rsidP="00CC355B">
            <w:pPr>
              <w:widowControl w:val="0"/>
              <w:jc w:val="both"/>
              <w:rPr>
                <w:rFonts w:cs="Arial"/>
                <w:szCs w:val="22"/>
                <w:lang w:val="es-AR" w:eastAsia="en-GB"/>
              </w:rPr>
            </w:pPr>
          </w:p>
        </w:tc>
        <w:tc>
          <w:tcPr>
            <w:tcW w:w="505" w:type="dxa"/>
          </w:tcPr>
          <w:p w14:paraId="4D270F46" w14:textId="77777777" w:rsidR="006D4739" w:rsidRPr="00103CB1" w:rsidRDefault="006D4739" w:rsidP="00CC355B">
            <w:pPr>
              <w:widowControl w:val="0"/>
              <w:jc w:val="both"/>
              <w:rPr>
                <w:rFonts w:cs="Arial"/>
                <w:szCs w:val="22"/>
                <w:lang w:val="es-AR" w:eastAsia="en-GB"/>
              </w:rPr>
            </w:pPr>
          </w:p>
        </w:tc>
        <w:tc>
          <w:tcPr>
            <w:tcW w:w="506" w:type="dxa"/>
          </w:tcPr>
          <w:p w14:paraId="6E81CD1D" w14:textId="77777777" w:rsidR="006D4739" w:rsidRPr="00103CB1" w:rsidRDefault="006D4739" w:rsidP="00CC355B">
            <w:pPr>
              <w:widowControl w:val="0"/>
              <w:jc w:val="both"/>
              <w:rPr>
                <w:rFonts w:cs="Arial"/>
                <w:szCs w:val="22"/>
                <w:lang w:val="es-AR" w:eastAsia="en-GB"/>
              </w:rPr>
            </w:pPr>
          </w:p>
        </w:tc>
        <w:tc>
          <w:tcPr>
            <w:tcW w:w="506" w:type="dxa"/>
          </w:tcPr>
          <w:p w14:paraId="04A6C5D4" w14:textId="77777777" w:rsidR="006D4739" w:rsidRPr="00103CB1" w:rsidRDefault="006D4739" w:rsidP="00CC355B">
            <w:pPr>
              <w:widowControl w:val="0"/>
              <w:jc w:val="both"/>
              <w:rPr>
                <w:rFonts w:cs="Arial"/>
                <w:szCs w:val="22"/>
                <w:lang w:val="es-AR" w:eastAsia="en-GB"/>
              </w:rPr>
            </w:pPr>
          </w:p>
        </w:tc>
        <w:tc>
          <w:tcPr>
            <w:tcW w:w="508" w:type="dxa"/>
          </w:tcPr>
          <w:p w14:paraId="0D0005E6" w14:textId="77777777" w:rsidR="006D4739" w:rsidRPr="00103CB1" w:rsidRDefault="006D4739" w:rsidP="00CC355B">
            <w:pPr>
              <w:widowControl w:val="0"/>
              <w:jc w:val="both"/>
              <w:rPr>
                <w:rFonts w:cs="Arial"/>
                <w:szCs w:val="22"/>
                <w:lang w:val="es-AR" w:eastAsia="en-GB"/>
              </w:rPr>
            </w:pPr>
          </w:p>
        </w:tc>
        <w:tc>
          <w:tcPr>
            <w:tcW w:w="2064" w:type="dxa"/>
          </w:tcPr>
          <w:p w14:paraId="54EEFEA7" w14:textId="77777777" w:rsidR="006D4739" w:rsidRPr="00103CB1" w:rsidRDefault="006D4739" w:rsidP="00CC355B">
            <w:pPr>
              <w:widowControl w:val="0"/>
              <w:jc w:val="both"/>
              <w:rPr>
                <w:rFonts w:cs="Arial"/>
                <w:szCs w:val="22"/>
                <w:lang w:val="es-AR" w:eastAsia="en-GB"/>
              </w:rPr>
            </w:pPr>
          </w:p>
        </w:tc>
        <w:tc>
          <w:tcPr>
            <w:tcW w:w="1903" w:type="dxa"/>
          </w:tcPr>
          <w:p w14:paraId="6FAC2C0D" w14:textId="77777777" w:rsidR="006D4739" w:rsidRPr="00103CB1" w:rsidRDefault="006D4739" w:rsidP="00CC355B">
            <w:pPr>
              <w:widowControl w:val="0"/>
              <w:jc w:val="both"/>
              <w:rPr>
                <w:rFonts w:cs="Arial"/>
                <w:szCs w:val="22"/>
                <w:lang w:val="es-AR" w:eastAsia="en-GB"/>
              </w:rPr>
            </w:pPr>
          </w:p>
        </w:tc>
      </w:tr>
      <w:tr w:rsidR="006D4739" w:rsidRPr="00103CB1" w14:paraId="44A96D55" w14:textId="77777777" w:rsidTr="00BC7DF5">
        <w:trPr>
          <w:trHeight w:val="247"/>
        </w:trPr>
        <w:tc>
          <w:tcPr>
            <w:tcW w:w="3636" w:type="dxa"/>
          </w:tcPr>
          <w:p w14:paraId="41C55EDA" w14:textId="77777777" w:rsidR="006D4739" w:rsidRPr="00103CB1" w:rsidDel="0045617B" w:rsidRDefault="006D4739" w:rsidP="00CC355B">
            <w:pPr>
              <w:widowControl w:val="0"/>
              <w:jc w:val="both"/>
              <w:rPr>
                <w:rFonts w:cs="Arial"/>
                <w:szCs w:val="22"/>
                <w:lang w:val="es-AR" w:eastAsia="en-GB"/>
              </w:rPr>
            </w:pPr>
          </w:p>
        </w:tc>
        <w:tc>
          <w:tcPr>
            <w:tcW w:w="505" w:type="dxa"/>
          </w:tcPr>
          <w:p w14:paraId="4BD4BB25" w14:textId="77777777" w:rsidR="006D4739" w:rsidRPr="00103CB1" w:rsidRDefault="006D4739" w:rsidP="00CC355B">
            <w:pPr>
              <w:widowControl w:val="0"/>
              <w:jc w:val="both"/>
              <w:rPr>
                <w:rFonts w:cs="Arial"/>
                <w:szCs w:val="22"/>
                <w:lang w:val="es-AR" w:eastAsia="en-GB"/>
              </w:rPr>
            </w:pPr>
          </w:p>
        </w:tc>
        <w:tc>
          <w:tcPr>
            <w:tcW w:w="506" w:type="dxa"/>
          </w:tcPr>
          <w:p w14:paraId="3B1C4E23" w14:textId="77777777" w:rsidR="006D4739" w:rsidRPr="00103CB1" w:rsidRDefault="006D4739" w:rsidP="00CC355B">
            <w:pPr>
              <w:widowControl w:val="0"/>
              <w:jc w:val="both"/>
              <w:rPr>
                <w:rFonts w:cs="Arial"/>
                <w:szCs w:val="22"/>
                <w:lang w:val="es-AR" w:eastAsia="en-GB"/>
              </w:rPr>
            </w:pPr>
          </w:p>
        </w:tc>
        <w:tc>
          <w:tcPr>
            <w:tcW w:w="506" w:type="dxa"/>
          </w:tcPr>
          <w:p w14:paraId="47EE6A6F" w14:textId="77777777" w:rsidR="006D4739" w:rsidRPr="00103CB1" w:rsidRDefault="006D4739" w:rsidP="00CC355B">
            <w:pPr>
              <w:widowControl w:val="0"/>
              <w:jc w:val="both"/>
              <w:rPr>
                <w:rFonts w:cs="Arial"/>
                <w:szCs w:val="22"/>
                <w:lang w:val="es-AR" w:eastAsia="en-GB"/>
              </w:rPr>
            </w:pPr>
          </w:p>
        </w:tc>
        <w:tc>
          <w:tcPr>
            <w:tcW w:w="508" w:type="dxa"/>
          </w:tcPr>
          <w:p w14:paraId="2075F65F" w14:textId="77777777" w:rsidR="006D4739" w:rsidRPr="00103CB1" w:rsidRDefault="006D4739" w:rsidP="00CC355B">
            <w:pPr>
              <w:widowControl w:val="0"/>
              <w:jc w:val="both"/>
              <w:rPr>
                <w:rFonts w:cs="Arial"/>
                <w:szCs w:val="22"/>
                <w:lang w:val="es-AR" w:eastAsia="en-GB"/>
              </w:rPr>
            </w:pPr>
          </w:p>
        </w:tc>
        <w:tc>
          <w:tcPr>
            <w:tcW w:w="2064" w:type="dxa"/>
          </w:tcPr>
          <w:p w14:paraId="68797061" w14:textId="77777777" w:rsidR="006D4739" w:rsidRPr="00103CB1" w:rsidRDefault="006D4739" w:rsidP="00CC355B">
            <w:pPr>
              <w:widowControl w:val="0"/>
              <w:jc w:val="both"/>
              <w:rPr>
                <w:rFonts w:cs="Arial"/>
                <w:szCs w:val="22"/>
                <w:lang w:val="es-AR" w:eastAsia="en-GB"/>
              </w:rPr>
            </w:pPr>
          </w:p>
        </w:tc>
        <w:tc>
          <w:tcPr>
            <w:tcW w:w="1903" w:type="dxa"/>
          </w:tcPr>
          <w:p w14:paraId="15D91939" w14:textId="77777777" w:rsidR="006D4739" w:rsidRPr="00103CB1" w:rsidRDefault="006D4739" w:rsidP="00CC355B">
            <w:pPr>
              <w:widowControl w:val="0"/>
              <w:jc w:val="both"/>
              <w:rPr>
                <w:rFonts w:cs="Arial"/>
                <w:szCs w:val="22"/>
                <w:lang w:val="es-AR" w:eastAsia="en-GB"/>
              </w:rPr>
            </w:pPr>
          </w:p>
        </w:tc>
      </w:tr>
      <w:tr w:rsidR="006D4739" w:rsidRPr="00103CB1" w14:paraId="4DB9C42A" w14:textId="77777777" w:rsidTr="00BC7DF5">
        <w:trPr>
          <w:trHeight w:val="247"/>
        </w:trPr>
        <w:tc>
          <w:tcPr>
            <w:tcW w:w="3636" w:type="dxa"/>
          </w:tcPr>
          <w:p w14:paraId="32D4369D" w14:textId="77777777" w:rsidR="006D4739" w:rsidRPr="00103CB1" w:rsidDel="0045617B" w:rsidRDefault="006D4739" w:rsidP="00CC355B">
            <w:pPr>
              <w:widowControl w:val="0"/>
              <w:jc w:val="both"/>
              <w:rPr>
                <w:rFonts w:cs="Arial"/>
                <w:szCs w:val="22"/>
                <w:lang w:val="es-AR" w:eastAsia="en-GB"/>
              </w:rPr>
            </w:pPr>
          </w:p>
        </w:tc>
        <w:tc>
          <w:tcPr>
            <w:tcW w:w="505" w:type="dxa"/>
          </w:tcPr>
          <w:p w14:paraId="123FEB9F" w14:textId="77777777" w:rsidR="006D4739" w:rsidRPr="00103CB1" w:rsidRDefault="006D4739" w:rsidP="00CC355B">
            <w:pPr>
              <w:widowControl w:val="0"/>
              <w:jc w:val="both"/>
              <w:rPr>
                <w:rFonts w:cs="Arial"/>
                <w:szCs w:val="22"/>
                <w:lang w:val="es-AR" w:eastAsia="en-GB"/>
              </w:rPr>
            </w:pPr>
          </w:p>
        </w:tc>
        <w:tc>
          <w:tcPr>
            <w:tcW w:w="506" w:type="dxa"/>
          </w:tcPr>
          <w:p w14:paraId="393EEA49" w14:textId="77777777" w:rsidR="006D4739" w:rsidRPr="00103CB1" w:rsidRDefault="006D4739" w:rsidP="00CC355B">
            <w:pPr>
              <w:widowControl w:val="0"/>
              <w:jc w:val="both"/>
              <w:rPr>
                <w:rFonts w:cs="Arial"/>
                <w:szCs w:val="22"/>
                <w:lang w:val="es-AR" w:eastAsia="en-GB"/>
              </w:rPr>
            </w:pPr>
          </w:p>
        </w:tc>
        <w:tc>
          <w:tcPr>
            <w:tcW w:w="506" w:type="dxa"/>
          </w:tcPr>
          <w:p w14:paraId="3DAEBCD9" w14:textId="77777777" w:rsidR="006D4739" w:rsidRPr="00103CB1" w:rsidRDefault="006D4739" w:rsidP="00CC355B">
            <w:pPr>
              <w:widowControl w:val="0"/>
              <w:jc w:val="both"/>
              <w:rPr>
                <w:rFonts w:cs="Arial"/>
                <w:szCs w:val="22"/>
                <w:lang w:val="es-AR" w:eastAsia="en-GB"/>
              </w:rPr>
            </w:pPr>
          </w:p>
        </w:tc>
        <w:tc>
          <w:tcPr>
            <w:tcW w:w="508" w:type="dxa"/>
          </w:tcPr>
          <w:p w14:paraId="738FB1DD" w14:textId="77777777" w:rsidR="006D4739" w:rsidRPr="00103CB1" w:rsidRDefault="006D4739" w:rsidP="00CC355B">
            <w:pPr>
              <w:widowControl w:val="0"/>
              <w:jc w:val="both"/>
              <w:rPr>
                <w:rFonts w:cs="Arial"/>
                <w:szCs w:val="22"/>
                <w:lang w:val="es-AR" w:eastAsia="en-GB"/>
              </w:rPr>
            </w:pPr>
          </w:p>
        </w:tc>
        <w:tc>
          <w:tcPr>
            <w:tcW w:w="2064" w:type="dxa"/>
          </w:tcPr>
          <w:p w14:paraId="6AA74DBD" w14:textId="77777777" w:rsidR="006D4739" w:rsidRPr="00103CB1" w:rsidRDefault="006D4739" w:rsidP="00CC355B">
            <w:pPr>
              <w:widowControl w:val="0"/>
              <w:jc w:val="both"/>
              <w:rPr>
                <w:rFonts w:cs="Arial"/>
                <w:szCs w:val="22"/>
                <w:lang w:val="es-AR" w:eastAsia="en-GB"/>
              </w:rPr>
            </w:pPr>
          </w:p>
        </w:tc>
        <w:tc>
          <w:tcPr>
            <w:tcW w:w="1903" w:type="dxa"/>
          </w:tcPr>
          <w:p w14:paraId="2F5E3F93" w14:textId="77777777" w:rsidR="006D4739" w:rsidRPr="00103CB1" w:rsidRDefault="006D4739" w:rsidP="00CC355B">
            <w:pPr>
              <w:widowControl w:val="0"/>
              <w:jc w:val="both"/>
              <w:rPr>
                <w:rFonts w:cs="Arial"/>
                <w:szCs w:val="22"/>
                <w:lang w:val="es-AR" w:eastAsia="en-GB"/>
              </w:rPr>
            </w:pPr>
          </w:p>
        </w:tc>
      </w:tr>
      <w:tr w:rsidR="006D4739" w:rsidRPr="00103CB1" w14:paraId="30A4999F" w14:textId="77777777" w:rsidTr="00BC7DF5">
        <w:trPr>
          <w:trHeight w:val="257"/>
        </w:trPr>
        <w:tc>
          <w:tcPr>
            <w:tcW w:w="3636" w:type="dxa"/>
          </w:tcPr>
          <w:p w14:paraId="6AA77053" w14:textId="77777777" w:rsidR="006D4739" w:rsidRPr="00103CB1" w:rsidDel="0045617B" w:rsidRDefault="006D4739" w:rsidP="00CC355B">
            <w:pPr>
              <w:widowControl w:val="0"/>
              <w:jc w:val="both"/>
              <w:rPr>
                <w:rFonts w:cs="Arial"/>
                <w:szCs w:val="22"/>
                <w:lang w:val="es-AR" w:eastAsia="en-GB"/>
              </w:rPr>
            </w:pPr>
          </w:p>
        </w:tc>
        <w:tc>
          <w:tcPr>
            <w:tcW w:w="505" w:type="dxa"/>
          </w:tcPr>
          <w:p w14:paraId="348CFDAA" w14:textId="77777777" w:rsidR="006D4739" w:rsidRPr="00103CB1" w:rsidRDefault="006D4739" w:rsidP="00CC355B">
            <w:pPr>
              <w:widowControl w:val="0"/>
              <w:jc w:val="both"/>
              <w:rPr>
                <w:rFonts w:cs="Arial"/>
                <w:szCs w:val="22"/>
                <w:lang w:val="es-AR" w:eastAsia="en-GB"/>
              </w:rPr>
            </w:pPr>
          </w:p>
        </w:tc>
        <w:tc>
          <w:tcPr>
            <w:tcW w:w="506" w:type="dxa"/>
          </w:tcPr>
          <w:p w14:paraId="1FEC309C" w14:textId="77777777" w:rsidR="006D4739" w:rsidRPr="00103CB1" w:rsidRDefault="006D4739" w:rsidP="00CC355B">
            <w:pPr>
              <w:widowControl w:val="0"/>
              <w:jc w:val="both"/>
              <w:rPr>
                <w:rFonts w:cs="Arial"/>
                <w:szCs w:val="22"/>
                <w:lang w:val="es-AR" w:eastAsia="en-GB"/>
              </w:rPr>
            </w:pPr>
          </w:p>
        </w:tc>
        <w:tc>
          <w:tcPr>
            <w:tcW w:w="506" w:type="dxa"/>
          </w:tcPr>
          <w:p w14:paraId="43119FF2" w14:textId="77777777" w:rsidR="006D4739" w:rsidRPr="00103CB1" w:rsidRDefault="006D4739" w:rsidP="00CC355B">
            <w:pPr>
              <w:widowControl w:val="0"/>
              <w:jc w:val="both"/>
              <w:rPr>
                <w:rFonts w:cs="Arial"/>
                <w:szCs w:val="22"/>
                <w:lang w:val="es-AR" w:eastAsia="en-GB"/>
              </w:rPr>
            </w:pPr>
          </w:p>
        </w:tc>
        <w:tc>
          <w:tcPr>
            <w:tcW w:w="508" w:type="dxa"/>
          </w:tcPr>
          <w:p w14:paraId="1631E780" w14:textId="77777777" w:rsidR="006D4739" w:rsidRPr="00103CB1" w:rsidRDefault="006D4739" w:rsidP="00CC355B">
            <w:pPr>
              <w:widowControl w:val="0"/>
              <w:jc w:val="both"/>
              <w:rPr>
                <w:rFonts w:cs="Arial"/>
                <w:szCs w:val="22"/>
                <w:lang w:val="es-AR" w:eastAsia="en-GB"/>
              </w:rPr>
            </w:pPr>
          </w:p>
        </w:tc>
        <w:tc>
          <w:tcPr>
            <w:tcW w:w="2064" w:type="dxa"/>
          </w:tcPr>
          <w:p w14:paraId="138AD226" w14:textId="77777777" w:rsidR="006D4739" w:rsidRPr="00103CB1" w:rsidRDefault="006D4739" w:rsidP="00CC355B">
            <w:pPr>
              <w:widowControl w:val="0"/>
              <w:jc w:val="both"/>
              <w:rPr>
                <w:rFonts w:cs="Arial"/>
                <w:szCs w:val="22"/>
                <w:lang w:val="es-AR" w:eastAsia="en-GB"/>
              </w:rPr>
            </w:pPr>
          </w:p>
        </w:tc>
        <w:tc>
          <w:tcPr>
            <w:tcW w:w="1903" w:type="dxa"/>
          </w:tcPr>
          <w:p w14:paraId="4FACBB91" w14:textId="77777777" w:rsidR="006D4739" w:rsidRPr="00103CB1" w:rsidRDefault="006D4739" w:rsidP="00CC355B">
            <w:pPr>
              <w:widowControl w:val="0"/>
              <w:jc w:val="both"/>
              <w:rPr>
                <w:rFonts w:cs="Arial"/>
                <w:szCs w:val="22"/>
                <w:lang w:val="es-AR" w:eastAsia="en-GB"/>
              </w:rPr>
            </w:pPr>
          </w:p>
        </w:tc>
      </w:tr>
      <w:tr w:rsidR="006D4739" w:rsidRPr="00103CB1" w14:paraId="1C69A8E0" w14:textId="77777777" w:rsidTr="00BC7DF5">
        <w:trPr>
          <w:trHeight w:val="247"/>
        </w:trPr>
        <w:tc>
          <w:tcPr>
            <w:tcW w:w="3636" w:type="dxa"/>
          </w:tcPr>
          <w:p w14:paraId="35A62A7A" w14:textId="77777777" w:rsidR="006D4739" w:rsidRPr="00103CB1" w:rsidRDefault="006D4739" w:rsidP="00CC355B">
            <w:pPr>
              <w:widowControl w:val="0"/>
              <w:jc w:val="both"/>
              <w:rPr>
                <w:rFonts w:cs="Arial"/>
                <w:szCs w:val="22"/>
                <w:lang w:val="es-AR" w:eastAsia="en-GB"/>
              </w:rPr>
            </w:pPr>
          </w:p>
        </w:tc>
        <w:tc>
          <w:tcPr>
            <w:tcW w:w="505" w:type="dxa"/>
          </w:tcPr>
          <w:p w14:paraId="42B84943" w14:textId="77777777" w:rsidR="006D4739" w:rsidRPr="00103CB1" w:rsidRDefault="006D4739" w:rsidP="00CC355B">
            <w:pPr>
              <w:widowControl w:val="0"/>
              <w:jc w:val="both"/>
              <w:rPr>
                <w:rFonts w:cs="Arial"/>
                <w:szCs w:val="22"/>
                <w:lang w:val="es-AR" w:eastAsia="en-GB"/>
              </w:rPr>
            </w:pPr>
          </w:p>
        </w:tc>
        <w:tc>
          <w:tcPr>
            <w:tcW w:w="506" w:type="dxa"/>
          </w:tcPr>
          <w:p w14:paraId="32DF58FF" w14:textId="77777777" w:rsidR="006D4739" w:rsidRPr="00103CB1" w:rsidRDefault="006D4739" w:rsidP="00CC355B">
            <w:pPr>
              <w:widowControl w:val="0"/>
              <w:jc w:val="both"/>
              <w:rPr>
                <w:rFonts w:cs="Arial"/>
                <w:szCs w:val="22"/>
                <w:lang w:val="es-AR" w:eastAsia="en-GB"/>
              </w:rPr>
            </w:pPr>
          </w:p>
        </w:tc>
        <w:tc>
          <w:tcPr>
            <w:tcW w:w="506" w:type="dxa"/>
          </w:tcPr>
          <w:p w14:paraId="3D65F751" w14:textId="77777777" w:rsidR="006D4739" w:rsidRPr="00103CB1" w:rsidRDefault="006D4739" w:rsidP="00CC355B">
            <w:pPr>
              <w:widowControl w:val="0"/>
              <w:jc w:val="both"/>
              <w:rPr>
                <w:rFonts w:cs="Arial"/>
                <w:szCs w:val="22"/>
                <w:lang w:val="es-AR" w:eastAsia="en-GB"/>
              </w:rPr>
            </w:pPr>
          </w:p>
        </w:tc>
        <w:tc>
          <w:tcPr>
            <w:tcW w:w="508" w:type="dxa"/>
          </w:tcPr>
          <w:p w14:paraId="0BCDBF9C" w14:textId="77777777" w:rsidR="006D4739" w:rsidRPr="00103CB1" w:rsidRDefault="006D4739" w:rsidP="00CC355B">
            <w:pPr>
              <w:widowControl w:val="0"/>
              <w:jc w:val="both"/>
              <w:rPr>
                <w:rFonts w:cs="Arial"/>
                <w:szCs w:val="22"/>
                <w:lang w:val="es-AR" w:eastAsia="en-GB"/>
              </w:rPr>
            </w:pPr>
          </w:p>
        </w:tc>
        <w:tc>
          <w:tcPr>
            <w:tcW w:w="2064" w:type="dxa"/>
          </w:tcPr>
          <w:p w14:paraId="6F3C8DB3" w14:textId="77777777" w:rsidR="006D4739" w:rsidRPr="00103CB1" w:rsidRDefault="006D4739" w:rsidP="00CC355B">
            <w:pPr>
              <w:widowControl w:val="0"/>
              <w:jc w:val="both"/>
              <w:rPr>
                <w:rFonts w:cs="Arial"/>
                <w:szCs w:val="22"/>
                <w:lang w:val="es-AR" w:eastAsia="en-GB"/>
              </w:rPr>
            </w:pPr>
          </w:p>
        </w:tc>
        <w:tc>
          <w:tcPr>
            <w:tcW w:w="1903" w:type="dxa"/>
          </w:tcPr>
          <w:p w14:paraId="0114F78E" w14:textId="77777777" w:rsidR="006D4739" w:rsidRPr="00103CB1" w:rsidRDefault="006D4739" w:rsidP="00CC355B">
            <w:pPr>
              <w:widowControl w:val="0"/>
              <w:jc w:val="both"/>
              <w:rPr>
                <w:rFonts w:cs="Arial"/>
                <w:szCs w:val="22"/>
                <w:lang w:val="es-AR" w:eastAsia="en-GB"/>
              </w:rPr>
            </w:pPr>
          </w:p>
        </w:tc>
      </w:tr>
    </w:tbl>
    <w:p w14:paraId="1C806C40" w14:textId="77777777" w:rsidR="006D4739" w:rsidRPr="00D16DDF" w:rsidRDefault="006D4739" w:rsidP="006D4739">
      <w:pPr>
        <w:widowControl w:val="0"/>
        <w:jc w:val="both"/>
        <w:rPr>
          <w:rFonts w:cs="Arial"/>
          <w:szCs w:val="22"/>
          <w:lang w:val="es-AR" w:eastAsia="en-GB"/>
        </w:rPr>
      </w:pPr>
    </w:p>
    <w:p w14:paraId="05C58E2F" w14:textId="77777777" w:rsidR="006D4739" w:rsidRPr="004339BB" w:rsidRDefault="006D4739" w:rsidP="00103CB1">
      <w:pPr>
        <w:widowControl w:val="0"/>
        <w:spacing w:after="120"/>
        <w:jc w:val="both"/>
        <w:rPr>
          <w:sz w:val="24"/>
          <w:szCs w:val="22"/>
          <w:lang w:val="es-AR"/>
        </w:rPr>
      </w:pPr>
      <w:r w:rsidRPr="004339BB">
        <w:rPr>
          <w:sz w:val="24"/>
          <w:szCs w:val="22"/>
          <w:lang w:val="es-AR"/>
        </w:rPr>
        <w:t>Los tiempos plasmados en el cronograma de trabajo, son de estricto cumplimiento, por lo que, en el caso de retrasos, el auditor deberá enviar notificación por escrito a las autoridades de NicaSalud, indicando la o las causas que originan el atraso y el efecto que esto tendrá e</w:t>
      </w:r>
      <w:r w:rsidR="00503B7F" w:rsidRPr="004339BB">
        <w:rPr>
          <w:sz w:val="24"/>
          <w:szCs w:val="22"/>
          <w:lang w:val="es-AR"/>
        </w:rPr>
        <w:t xml:space="preserve">n la entrega tardía del informe, </w:t>
      </w:r>
      <w:r w:rsidR="00492FDC" w:rsidRPr="004339BB">
        <w:rPr>
          <w:sz w:val="24"/>
          <w:szCs w:val="22"/>
          <w:lang w:val="es-AR"/>
        </w:rPr>
        <w:t>el numeral 10.1 establece como fecha de informe final y envío al Fondo Mundial a más tardar el 31 de marzo de 2023, 31 de marzo 2024 y 31 de marzo 2025</w:t>
      </w:r>
      <w:r w:rsidR="00534A73" w:rsidRPr="004339BB">
        <w:rPr>
          <w:sz w:val="24"/>
          <w:szCs w:val="22"/>
          <w:lang w:val="es-AR"/>
        </w:rPr>
        <w:t>.</w:t>
      </w:r>
    </w:p>
    <w:p w14:paraId="06EC6261" w14:textId="77777777" w:rsidR="006D4739" w:rsidRPr="004339BB" w:rsidRDefault="006D4739" w:rsidP="00103CB1">
      <w:pPr>
        <w:widowControl w:val="0"/>
        <w:spacing w:after="120"/>
        <w:jc w:val="both"/>
        <w:rPr>
          <w:i/>
          <w:sz w:val="24"/>
          <w:szCs w:val="22"/>
          <w:lang w:val="es-AR" w:eastAsia="en-GB"/>
        </w:rPr>
      </w:pPr>
      <w:r w:rsidRPr="004339BB">
        <w:rPr>
          <w:i/>
          <w:sz w:val="24"/>
          <w:szCs w:val="22"/>
          <w:lang w:val="es-AR" w:eastAsia="en-GB"/>
        </w:rPr>
        <w:t xml:space="preserve">De no aplicar al proceso de licitación, favor hacernos saber a través de carta oficial su NO participación. </w:t>
      </w:r>
    </w:p>
    <w:p w14:paraId="3586CF09" w14:textId="77777777" w:rsidR="006D4739" w:rsidRPr="00103CB1" w:rsidRDefault="006D4739" w:rsidP="00103CB1">
      <w:pPr>
        <w:widowControl w:val="0"/>
        <w:spacing w:after="120"/>
        <w:jc w:val="both"/>
        <w:rPr>
          <w:snapToGrid w:val="0"/>
          <w:sz w:val="24"/>
          <w:szCs w:val="22"/>
          <w:lang w:val="es-ES_tradnl" w:eastAsia="es-ES"/>
        </w:rPr>
      </w:pPr>
    </w:p>
    <w:p w14:paraId="0FC15969" w14:textId="77777777" w:rsidR="006D4739" w:rsidRPr="00103CB1" w:rsidRDefault="006D4739" w:rsidP="00103CB1">
      <w:pPr>
        <w:pStyle w:val="ListParagraph"/>
        <w:numPr>
          <w:ilvl w:val="0"/>
          <w:numId w:val="3"/>
        </w:numPr>
        <w:spacing w:after="120"/>
        <w:ind w:right="576"/>
        <w:jc w:val="both"/>
        <w:rPr>
          <w:b/>
          <w:bCs/>
          <w:sz w:val="24"/>
          <w:lang w:val="es-AR"/>
        </w:rPr>
      </w:pPr>
      <w:r w:rsidRPr="00103CB1">
        <w:rPr>
          <w:b/>
          <w:bCs/>
          <w:sz w:val="24"/>
          <w:lang w:val="es-AR"/>
        </w:rPr>
        <w:t>Productos Entregables:</w:t>
      </w:r>
    </w:p>
    <w:p w14:paraId="078FD7BB" w14:textId="77777777" w:rsidR="006D4739" w:rsidRPr="00103CB1" w:rsidRDefault="006D4739" w:rsidP="00103CB1">
      <w:pPr>
        <w:pStyle w:val="ListParagraph"/>
        <w:tabs>
          <w:tab w:val="left" w:pos="360"/>
          <w:tab w:val="left" w:pos="8280"/>
        </w:tabs>
        <w:spacing w:after="120"/>
        <w:ind w:left="0"/>
        <w:jc w:val="both"/>
        <w:rPr>
          <w:sz w:val="24"/>
          <w:lang w:val="es-AR"/>
        </w:rPr>
      </w:pPr>
      <w:r w:rsidRPr="00103CB1">
        <w:rPr>
          <w:sz w:val="24"/>
          <w:lang w:val="es-AR"/>
        </w:rPr>
        <w:t>El auditor presentará en el plazo acordado a partir de la firma del Contrato los siguientes documentos:</w:t>
      </w:r>
    </w:p>
    <w:p w14:paraId="3453D875" w14:textId="77777777" w:rsidR="006D4739" w:rsidRPr="00103CB1" w:rsidRDefault="006D4739" w:rsidP="00103CB1">
      <w:pPr>
        <w:tabs>
          <w:tab w:val="left" w:pos="360"/>
          <w:tab w:val="left" w:pos="8280"/>
        </w:tabs>
        <w:spacing w:after="120"/>
        <w:ind w:left="720" w:hanging="360"/>
        <w:jc w:val="both"/>
        <w:rPr>
          <w:sz w:val="24"/>
          <w:szCs w:val="22"/>
          <w:lang w:val="es-AR" w:eastAsia="en-GB"/>
        </w:rPr>
      </w:pPr>
      <w:r w:rsidRPr="00103CB1">
        <w:rPr>
          <w:sz w:val="24"/>
          <w:szCs w:val="22"/>
          <w:lang w:val="es-AR" w:eastAsia="en-GB"/>
        </w:rPr>
        <w:t>•</w:t>
      </w:r>
      <w:r w:rsidRPr="00103CB1">
        <w:rPr>
          <w:sz w:val="24"/>
          <w:szCs w:val="22"/>
          <w:lang w:val="es-AR" w:eastAsia="en-GB"/>
        </w:rPr>
        <w:tab/>
        <w:t>Plan de auditoría a los 05 días calendario.</w:t>
      </w:r>
    </w:p>
    <w:p w14:paraId="0FA3CAD6" w14:textId="77777777" w:rsidR="006D4739" w:rsidRPr="00103CB1" w:rsidRDefault="006D4739" w:rsidP="00103CB1">
      <w:pPr>
        <w:tabs>
          <w:tab w:val="left" w:pos="360"/>
          <w:tab w:val="left" w:pos="8280"/>
        </w:tabs>
        <w:spacing w:after="120"/>
        <w:ind w:left="720" w:hanging="360"/>
        <w:jc w:val="both"/>
        <w:rPr>
          <w:sz w:val="24"/>
          <w:szCs w:val="22"/>
          <w:lang w:val="es-AR" w:eastAsia="en-GB"/>
        </w:rPr>
      </w:pPr>
      <w:r w:rsidRPr="00103CB1">
        <w:rPr>
          <w:sz w:val="24"/>
          <w:szCs w:val="22"/>
          <w:lang w:val="es-AR" w:eastAsia="en-GB"/>
        </w:rPr>
        <w:t>•</w:t>
      </w:r>
      <w:r w:rsidRPr="00103CB1">
        <w:rPr>
          <w:sz w:val="24"/>
          <w:szCs w:val="22"/>
          <w:lang w:val="es-AR" w:eastAsia="en-GB"/>
        </w:rPr>
        <w:tab/>
        <w:t>Informe Preliminar a los 30 días calendario</w:t>
      </w:r>
    </w:p>
    <w:p w14:paraId="19A92E6A" w14:textId="77777777" w:rsidR="006D4739" w:rsidRPr="00103CB1" w:rsidRDefault="006D4739" w:rsidP="00103CB1">
      <w:pPr>
        <w:tabs>
          <w:tab w:val="left" w:pos="360"/>
          <w:tab w:val="left" w:pos="8280"/>
        </w:tabs>
        <w:spacing w:after="120"/>
        <w:ind w:left="720" w:hanging="360"/>
        <w:jc w:val="both"/>
        <w:rPr>
          <w:sz w:val="24"/>
          <w:szCs w:val="22"/>
          <w:lang w:val="es-AR" w:eastAsia="en-GB"/>
        </w:rPr>
      </w:pPr>
      <w:r w:rsidRPr="00103CB1">
        <w:rPr>
          <w:sz w:val="24"/>
          <w:szCs w:val="22"/>
          <w:lang w:val="es-AR" w:eastAsia="en-GB"/>
        </w:rPr>
        <w:t>•</w:t>
      </w:r>
      <w:r w:rsidRPr="00103CB1">
        <w:rPr>
          <w:sz w:val="24"/>
          <w:szCs w:val="22"/>
          <w:lang w:val="es-AR" w:eastAsia="en-GB"/>
        </w:rPr>
        <w:tab/>
        <w:t>Informe Final a los 45 días calendario</w:t>
      </w:r>
    </w:p>
    <w:p w14:paraId="0A66549B" w14:textId="77777777" w:rsidR="006D4739" w:rsidRPr="00103CB1" w:rsidRDefault="006D4739" w:rsidP="00103CB1">
      <w:pPr>
        <w:tabs>
          <w:tab w:val="left" w:pos="360"/>
          <w:tab w:val="left" w:pos="8280"/>
        </w:tabs>
        <w:spacing w:after="120"/>
        <w:jc w:val="both"/>
        <w:rPr>
          <w:sz w:val="24"/>
          <w:szCs w:val="22"/>
          <w:lang w:val="es-AR" w:eastAsia="en-GB"/>
        </w:rPr>
      </w:pPr>
      <w:r w:rsidRPr="00103CB1">
        <w:rPr>
          <w:sz w:val="24"/>
          <w:szCs w:val="22"/>
          <w:lang w:val="es-AR" w:eastAsia="en-GB"/>
        </w:rPr>
        <w:t xml:space="preserve">Respecto a la entrega del informe final, el auditor contratado debe remitir a la Federación Red NicaSalud un documento consolidado del resultado de la auditoria y un documento por cada una de los subreceptores que ejecutaron fondo, además debe </w:t>
      </w:r>
      <w:r w:rsidR="0064266B" w:rsidRPr="00103CB1">
        <w:rPr>
          <w:sz w:val="24"/>
          <w:szCs w:val="22"/>
          <w:lang w:val="es-AR" w:eastAsia="en-GB"/>
        </w:rPr>
        <w:t>presentar una</w:t>
      </w:r>
      <w:r w:rsidRPr="00103CB1">
        <w:rPr>
          <w:sz w:val="24"/>
          <w:szCs w:val="22"/>
          <w:lang w:val="es-AR" w:eastAsia="en-GB"/>
        </w:rPr>
        <w:t xml:space="preserve"> copia en PDF del informe.</w:t>
      </w:r>
    </w:p>
    <w:p w14:paraId="12C86559" w14:textId="77777777" w:rsidR="00247F9F" w:rsidRPr="00103CB1" w:rsidRDefault="003F1C9E" w:rsidP="00103CB1">
      <w:pPr>
        <w:autoSpaceDE w:val="0"/>
        <w:autoSpaceDN w:val="0"/>
        <w:adjustRightInd w:val="0"/>
        <w:spacing w:after="120"/>
        <w:jc w:val="both"/>
        <w:rPr>
          <w:rFonts w:cs="Georgia"/>
          <w:b/>
          <w:bCs/>
          <w:color w:val="000000"/>
          <w:sz w:val="24"/>
          <w:szCs w:val="22"/>
          <w:lang w:val="es-419" w:eastAsia="en-US"/>
        </w:rPr>
      </w:pPr>
      <w:r w:rsidRPr="00103CB1">
        <w:rPr>
          <w:b/>
          <w:color w:val="000000"/>
          <w:sz w:val="24"/>
          <w:szCs w:val="22"/>
          <w:lang w:val="es-ES" w:eastAsia="es-ES"/>
        </w:rPr>
        <w:t xml:space="preserve">CÓDIGO DE CONDUCTA: </w:t>
      </w:r>
      <w:r w:rsidRPr="00103CB1">
        <w:rPr>
          <w:color w:val="000000"/>
          <w:sz w:val="24"/>
          <w:szCs w:val="22"/>
          <w:lang w:val="es-ES" w:eastAsia="es-ES"/>
        </w:rPr>
        <w:t>El Proveedor deberá dar estricto cumplimiento al “Código de Conducta para proveedores” del Fondo Mundial, adjunto a la presente convocatoria. Si se evidencia que el proveedor incurre en alguna de las faltas descritas en el referido Código, se rechazará de inmediato su propuesta.</w:t>
      </w:r>
    </w:p>
    <w:p w14:paraId="2CE4D329" w14:textId="77777777" w:rsidR="0057309B" w:rsidRPr="00D16DDF" w:rsidRDefault="0057309B" w:rsidP="00AA0F77">
      <w:pPr>
        <w:rPr>
          <w:lang w:val="es-419" w:eastAsia="en-US"/>
        </w:rPr>
      </w:pPr>
    </w:p>
    <w:sectPr w:rsidR="0057309B" w:rsidRPr="00D16DDF" w:rsidSect="00103CB1">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63F2" w14:textId="77777777" w:rsidR="004E53D6" w:rsidRDefault="004E53D6" w:rsidP="00577C94">
      <w:r>
        <w:separator/>
      </w:r>
    </w:p>
  </w:endnote>
  <w:endnote w:type="continuationSeparator" w:id="0">
    <w:p w14:paraId="24E69B53" w14:textId="77777777" w:rsidR="004E53D6" w:rsidRDefault="004E53D6" w:rsidP="0057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91700"/>
      <w:docPartObj>
        <w:docPartGallery w:val="Page Numbers (Bottom of Page)"/>
        <w:docPartUnique/>
      </w:docPartObj>
    </w:sdtPr>
    <w:sdtEndPr>
      <w:rPr>
        <w:noProof/>
      </w:rPr>
    </w:sdtEndPr>
    <w:sdtContent>
      <w:p w14:paraId="7AFC2E26" w14:textId="5DD567C3" w:rsidR="001345AA" w:rsidRDefault="001345AA">
        <w:pPr>
          <w:pStyle w:val="Footer"/>
          <w:jc w:val="right"/>
        </w:pPr>
        <w:r>
          <w:fldChar w:fldCharType="begin"/>
        </w:r>
        <w:r>
          <w:instrText xml:space="preserve"> PAGE   \* MERGEFORMAT </w:instrText>
        </w:r>
        <w:r>
          <w:fldChar w:fldCharType="separate"/>
        </w:r>
        <w:r w:rsidR="00E52BF4">
          <w:rPr>
            <w:noProof/>
          </w:rPr>
          <w:t>i</w:t>
        </w:r>
        <w:r>
          <w:rPr>
            <w:noProof/>
          </w:rPr>
          <w:fldChar w:fldCharType="end"/>
        </w:r>
      </w:p>
    </w:sdtContent>
  </w:sdt>
  <w:p w14:paraId="378360D1" w14:textId="77777777" w:rsidR="001345AA" w:rsidRDefault="0013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894123"/>
      <w:docPartObj>
        <w:docPartGallery w:val="Page Numbers (Bottom of Page)"/>
        <w:docPartUnique/>
      </w:docPartObj>
    </w:sdtPr>
    <w:sdtEndPr>
      <w:rPr>
        <w:noProof/>
      </w:rPr>
    </w:sdtEndPr>
    <w:sdtContent>
      <w:p w14:paraId="56087735" w14:textId="34F3B20A" w:rsidR="001345AA" w:rsidRDefault="001345AA">
        <w:pPr>
          <w:pStyle w:val="Footer"/>
          <w:jc w:val="right"/>
        </w:pPr>
        <w:r>
          <w:fldChar w:fldCharType="begin"/>
        </w:r>
        <w:r>
          <w:instrText xml:space="preserve"> PAGE   \* MERGEFORMAT </w:instrText>
        </w:r>
        <w:r>
          <w:fldChar w:fldCharType="separate"/>
        </w:r>
        <w:r w:rsidR="004339BB">
          <w:rPr>
            <w:noProof/>
          </w:rPr>
          <w:t>31</w:t>
        </w:r>
        <w:r>
          <w:rPr>
            <w:noProof/>
          </w:rPr>
          <w:fldChar w:fldCharType="end"/>
        </w:r>
      </w:p>
    </w:sdtContent>
  </w:sdt>
  <w:p w14:paraId="1DD20486" w14:textId="77777777" w:rsidR="001345AA" w:rsidRDefault="001345AA" w:rsidP="00283530">
    <w:pPr>
      <w:pStyle w:val="Footer"/>
      <w:tabs>
        <w:tab w:val="clear" w:pos="4419"/>
        <w:tab w:val="clear" w:pos="8838"/>
        <w:tab w:val="left" w:pos="272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458A" w14:textId="77777777" w:rsidR="001345AA" w:rsidRDefault="0013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3D9F" w14:textId="77777777" w:rsidR="004E53D6" w:rsidRDefault="004E53D6" w:rsidP="00577C94">
      <w:r>
        <w:separator/>
      </w:r>
    </w:p>
  </w:footnote>
  <w:footnote w:type="continuationSeparator" w:id="0">
    <w:p w14:paraId="56510444" w14:textId="77777777" w:rsidR="004E53D6" w:rsidRDefault="004E53D6" w:rsidP="00577C94">
      <w:r>
        <w:continuationSeparator/>
      </w:r>
    </w:p>
  </w:footnote>
  <w:footnote w:id="1">
    <w:p w14:paraId="57C5C5DC" w14:textId="77777777" w:rsidR="001345AA" w:rsidRPr="00F4774C" w:rsidRDefault="001345AA" w:rsidP="00F4774C">
      <w:pPr>
        <w:pStyle w:val="FootnoteText"/>
        <w:rPr>
          <w:lang w:val="es-ES"/>
        </w:rPr>
      </w:pPr>
      <w:r>
        <w:rPr>
          <w:rStyle w:val="FootnoteReference"/>
        </w:rPr>
        <w:footnoteRef/>
      </w:r>
      <w:r w:rsidRPr="00F4774C">
        <w:rPr>
          <w:lang w:val="es-NI"/>
        </w:rPr>
        <w:t xml:space="preserve"> </w:t>
      </w:r>
      <w:r w:rsidRPr="00F4774C">
        <w:rPr>
          <w:rFonts w:ascii="Times New Roman" w:hAnsi="Times New Roman"/>
          <w:i/>
          <w:iCs/>
          <w:snapToGrid w:val="0"/>
          <w:sz w:val="20"/>
          <w:szCs w:val="20"/>
          <w:lang w:val="es-ES_tradnl" w:eastAsia="es-ES"/>
        </w:rPr>
        <w:t>Toda organización de sociedad civil o institución de gobierno que ha firmado convenio con el Receptor Principal para la ejecución de fondos, se le denomina Sub Receptor.</w:t>
      </w:r>
    </w:p>
  </w:footnote>
  <w:footnote w:id="2">
    <w:p w14:paraId="59447531" w14:textId="77777777" w:rsidR="001345AA" w:rsidRDefault="001345AA" w:rsidP="0064195A">
      <w:pPr>
        <w:pStyle w:val="FootnoteText"/>
        <w:jc w:val="both"/>
        <w:rPr>
          <w:rFonts w:ascii="Times New Roman" w:hAnsi="Times New Roman"/>
          <w:i/>
          <w:sz w:val="20"/>
          <w:szCs w:val="16"/>
          <w:lang w:val="es-ES_tradnl"/>
        </w:rPr>
      </w:pPr>
      <w:r>
        <w:rPr>
          <w:rStyle w:val="FootnoteReference"/>
          <w:szCs w:val="16"/>
          <w:lang w:val="es-ES_tradnl"/>
        </w:rPr>
        <w:t>1</w:t>
      </w:r>
      <w:r>
        <w:rPr>
          <w:szCs w:val="16"/>
          <w:lang w:val="es-ES_tradnl"/>
        </w:rPr>
        <w:t xml:space="preserve"> </w:t>
      </w:r>
      <w:r w:rsidRPr="007B39BF">
        <w:rPr>
          <w:rFonts w:ascii="Times New Roman" w:hAnsi="Times New Roman"/>
          <w:i/>
          <w:sz w:val="20"/>
          <w:szCs w:val="16"/>
          <w:lang w:val="es-ES_tradnl"/>
        </w:rPr>
        <w:t xml:space="preserve">Leyes: Referencia a los Reglamentos de subvenciones del Fondo Mundial (2014), artículo 8.4, 9.4 (enlace: </w:t>
      </w:r>
      <w:hyperlink r:id="rId1" w:history="1">
        <w:r w:rsidRPr="00976C9A">
          <w:rPr>
            <w:rStyle w:val="Hyperlink"/>
            <w:rFonts w:ascii="Times New Roman" w:hAnsi="Times New Roman"/>
            <w:i/>
            <w:sz w:val="20"/>
            <w:szCs w:val="16"/>
            <w:lang w:val="es-ES_tradnl"/>
          </w:rPr>
          <w:t>https://www.theglobalfund.org/media/5682/core_grant_regulations_en.pdf</w:t>
        </w:r>
      </w:hyperlink>
    </w:p>
    <w:p w14:paraId="3250C4B3" w14:textId="77777777" w:rsidR="001345AA" w:rsidRPr="007B39BF" w:rsidRDefault="001345AA" w:rsidP="0064195A">
      <w:pPr>
        <w:pStyle w:val="FootnoteText"/>
        <w:jc w:val="both"/>
        <w:rPr>
          <w:rFonts w:ascii="Times New Roman" w:hAnsi="Times New Roman"/>
          <w:i/>
          <w:sz w:val="20"/>
          <w:szCs w:val="16"/>
          <w:lang w:val="es-ES_tradnl"/>
        </w:rPr>
      </w:pPr>
      <w:r w:rsidRPr="00FC0297">
        <w:rPr>
          <w:rStyle w:val="FootnoteReference"/>
          <w:lang w:val="es-419"/>
        </w:rPr>
        <w:t>2</w:t>
      </w:r>
      <w:r>
        <w:rPr>
          <w:rFonts w:ascii="Times New Roman" w:hAnsi="Times New Roman"/>
          <w:i/>
          <w:sz w:val="20"/>
          <w:szCs w:val="16"/>
          <w:lang w:val="es-ES_tradnl"/>
        </w:rPr>
        <w:t>Por ejemplo reglamento de seguridad social, impuestos, actasde adquisiciones, eliminación de medicamentos</w:t>
      </w:r>
    </w:p>
    <w:p w14:paraId="5F96D015" w14:textId="77777777" w:rsidR="001345AA" w:rsidRDefault="001345AA" w:rsidP="0064195A">
      <w:pPr>
        <w:pStyle w:val="FootnoteText"/>
        <w:jc w:val="both"/>
        <w:rPr>
          <w:rFonts w:ascii="Times New Roman" w:hAnsi="Times New Roman"/>
          <w:sz w:val="20"/>
          <w:szCs w:val="16"/>
          <w:lang w:val="es-ES_tradnl"/>
        </w:rPr>
      </w:pPr>
    </w:p>
    <w:p w14:paraId="37B9934A" w14:textId="77777777" w:rsidR="001345AA" w:rsidRPr="008E3EF4" w:rsidRDefault="001345AA" w:rsidP="0064195A">
      <w:pPr>
        <w:pStyle w:val="FootnoteText"/>
        <w:jc w:val="both"/>
        <w:rPr>
          <w:rFonts w:ascii="Times New Roman" w:hAnsi="Times New Roman"/>
          <w:i/>
          <w:sz w:val="18"/>
          <w:szCs w:val="16"/>
          <w:lang w:val="es-ES_tradnl"/>
        </w:rPr>
      </w:pPr>
      <w:r w:rsidRPr="008E3EF4">
        <w:rPr>
          <w:rFonts w:ascii="Times New Roman" w:hAnsi="Times New Roman"/>
          <w:i/>
          <w:sz w:val="20"/>
          <w:szCs w:val="16"/>
          <w:lang w:val="es-ES_tradnl"/>
        </w:rPr>
        <w:t xml:space="preserve">3 </w:t>
      </w:r>
      <w:r w:rsidRPr="008E3EF4">
        <w:rPr>
          <w:rFonts w:ascii="Times New Roman" w:hAnsi="Times New Roman"/>
          <w:i/>
          <w:sz w:val="18"/>
          <w:szCs w:val="16"/>
          <w:lang w:val="es-ES_tradnl"/>
        </w:rPr>
        <w:t xml:space="preserve">Tales como agentes fiscales, agentes fiduciarios y cualquier otra tercera parte a la </w:t>
      </w:r>
      <w:r>
        <w:rPr>
          <w:rFonts w:ascii="Times New Roman" w:hAnsi="Times New Roman"/>
          <w:i/>
          <w:sz w:val="18"/>
          <w:szCs w:val="16"/>
          <w:lang w:val="es-ES_tradnl"/>
        </w:rPr>
        <w:t>q</w:t>
      </w:r>
      <w:r w:rsidRPr="008E3EF4">
        <w:rPr>
          <w:rFonts w:ascii="Times New Roman" w:hAnsi="Times New Roman"/>
          <w:i/>
          <w:sz w:val="18"/>
          <w:szCs w:val="16"/>
          <w:lang w:val="es-ES_tradnl"/>
        </w:rPr>
        <w:t>ue el Receptor Principal recurra como medida de mitigación de riesgos</w:t>
      </w:r>
      <w:r>
        <w:rPr>
          <w:rFonts w:ascii="Times New Roman" w:hAnsi="Times New Roman"/>
          <w:i/>
          <w:sz w:val="18"/>
          <w:szCs w:val="16"/>
          <w:lang w:val="es-ES_tradnl"/>
        </w:rPr>
        <w:t>.</w:t>
      </w:r>
    </w:p>
    <w:p w14:paraId="655459AB" w14:textId="77777777" w:rsidR="001345AA" w:rsidRPr="008E3EF4" w:rsidRDefault="001345AA" w:rsidP="0064195A">
      <w:pPr>
        <w:pStyle w:val="FootnoteText"/>
        <w:jc w:val="both"/>
        <w:rPr>
          <w:rFonts w:ascii="Times New Roman" w:hAnsi="Times New Roman"/>
          <w:i/>
          <w:sz w:val="18"/>
          <w:lang w:val="es-ES_tradnl"/>
        </w:rPr>
      </w:pPr>
      <w:r>
        <w:rPr>
          <w:rFonts w:ascii="Times New Roman" w:hAnsi="Times New Roman"/>
          <w:sz w:val="18"/>
          <w:szCs w:val="16"/>
          <w:lang w:val="es-ES_tradnl"/>
        </w:rPr>
        <w:t>4</w:t>
      </w:r>
      <w:r w:rsidRPr="008E3EF4">
        <w:rPr>
          <w:rFonts w:ascii="Times New Roman" w:hAnsi="Times New Roman"/>
          <w:sz w:val="18"/>
          <w:szCs w:val="16"/>
          <w:lang w:val="es-ES_tradnl"/>
        </w:rPr>
        <w:t xml:space="preserve"> </w:t>
      </w:r>
      <w:r>
        <w:rPr>
          <w:rFonts w:ascii="Times New Roman" w:hAnsi="Times New Roman"/>
          <w:sz w:val="18"/>
          <w:szCs w:val="16"/>
          <w:lang w:val="es-ES_tradnl"/>
        </w:rPr>
        <w:t xml:space="preserve">Por ejemplo, </w:t>
      </w:r>
      <w:r w:rsidRPr="008E3EF4">
        <w:rPr>
          <w:rFonts w:ascii="Times New Roman" w:hAnsi="Times New Roman"/>
          <w:i/>
          <w:sz w:val="18"/>
          <w:szCs w:val="16"/>
          <w:lang w:val="es-ES_tradnl"/>
        </w:rPr>
        <w:t>agentes fi</w:t>
      </w:r>
      <w:r>
        <w:rPr>
          <w:rFonts w:ascii="Times New Roman" w:hAnsi="Times New Roman"/>
          <w:i/>
          <w:sz w:val="18"/>
          <w:szCs w:val="16"/>
          <w:lang w:val="es-ES_tradnl"/>
        </w:rPr>
        <w:t>duciarios</w:t>
      </w:r>
      <w:r w:rsidRPr="008E3EF4">
        <w:rPr>
          <w:rFonts w:ascii="Times New Roman" w:hAnsi="Times New Roman"/>
          <w:i/>
          <w:sz w:val="18"/>
          <w:szCs w:val="16"/>
          <w:lang w:val="es-ES_tradnl"/>
        </w:rPr>
        <w:t>, agentes fi</w:t>
      </w:r>
      <w:r>
        <w:rPr>
          <w:rFonts w:ascii="Times New Roman" w:hAnsi="Times New Roman"/>
          <w:i/>
          <w:sz w:val="18"/>
          <w:szCs w:val="16"/>
          <w:lang w:val="es-ES_tradnl"/>
        </w:rPr>
        <w:t>scales</w:t>
      </w:r>
      <w:r w:rsidRPr="008E3EF4">
        <w:rPr>
          <w:rFonts w:ascii="Times New Roman" w:hAnsi="Times New Roman"/>
          <w:i/>
          <w:sz w:val="18"/>
          <w:szCs w:val="16"/>
          <w:lang w:val="es-ES_tradnl"/>
        </w:rPr>
        <w:t>, almacenes médicos centrales y otros. Sin embargo, esto excluye a los procesos gestionados por el</w:t>
      </w:r>
      <w:r>
        <w:rPr>
          <w:rFonts w:ascii="Times New Roman" w:hAnsi="Times New Roman"/>
          <w:i/>
          <w:sz w:val="18"/>
          <w:szCs w:val="16"/>
          <w:lang w:val="es-ES_tradnl"/>
        </w:rPr>
        <w:t xml:space="preserve"> Fondo Mundial, tales como los M</w:t>
      </w:r>
      <w:r w:rsidRPr="008E3EF4">
        <w:rPr>
          <w:rFonts w:ascii="Times New Roman" w:hAnsi="Times New Roman"/>
          <w:i/>
          <w:sz w:val="18"/>
          <w:szCs w:val="16"/>
          <w:lang w:val="es-ES_tradnl"/>
        </w:rPr>
        <w:t xml:space="preserve">ecanismos de </w:t>
      </w:r>
      <w:r>
        <w:rPr>
          <w:rFonts w:ascii="Times New Roman" w:hAnsi="Times New Roman"/>
          <w:i/>
          <w:sz w:val="18"/>
          <w:szCs w:val="16"/>
          <w:lang w:val="es-ES_tradnl"/>
        </w:rPr>
        <w:t>Adquisición C</w:t>
      </w:r>
      <w:r w:rsidRPr="008E3EF4">
        <w:rPr>
          <w:rFonts w:ascii="Times New Roman" w:hAnsi="Times New Roman"/>
          <w:i/>
          <w:sz w:val="18"/>
          <w:szCs w:val="16"/>
          <w:lang w:val="es-ES_tradnl"/>
        </w:rPr>
        <w:t>onjunta /Wambo</w:t>
      </w:r>
      <w:r>
        <w:rPr>
          <w:rFonts w:ascii="Times New Roman" w:hAnsi="Times New Roman"/>
          <w:i/>
          <w:sz w:val="18"/>
          <w:szCs w:val="16"/>
          <w:lang w:val="es-ES_tradnl"/>
        </w:rPr>
        <w:t>.</w:t>
      </w:r>
    </w:p>
  </w:footnote>
  <w:footnote w:id="3">
    <w:p w14:paraId="7000E284" w14:textId="77777777" w:rsidR="001345AA" w:rsidRPr="008E3EF4" w:rsidRDefault="001345AA" w:rsidP="00CB34A0">
      <w:pPr>
        <w:pStyle w:val="FootnoteText"/>
        <w:jc w:val="both"/>
        <w:rPr>
          <w:rFonts w:ascii="Times New Roman" w:hAnsi="Times New Roman"/>
          <w:i/>
          <w:sz w:val="18"/>
          <w:szCs w:val="16"/>
          <w:lang w:val="es-ES_tradnl"/>
        </w:rPr>
      </w:pPr>
      <w:r>
        <w:rPr>
          <w:rStyle w:val="FootnoteReference"/>
          <w:sz w:val="20"/>
          <w:szCs w:val="16"/>
          <w:lang w:val="es-ES_tradnl"/>
        </w:rPr>
        <w:t>5</w:t>
      </w:r>
      <w:r w:rsidRPr="008E3EF4">
        <w:rPr>
          <w:sz w:val="20"/>
          <w:szCs w:val="16"/>
          <w:lang w:val="es-ES_tradnl"/>
        </w:rPr>
        <w:t xml:space="preserve"> </w:t>
      </w:r>
      <w:r w:rsidRPr="008E3EF4">
        <w:rPr>
          <w:rFonts w:ascii="Times New Roman" w:hAnsi="Times New Roman"/>
          <w:i/>
          <w:sz w:val="18"/>
          <w:szCs w:val="16"/>
          <w:lang w:val="es-ES_tradnl"/>
        </w:rPr>
        <w:t>Cu</w:t>
      </w:r>
      <w:r>
        <w:rPr>
          <w:rFonts w:ascii="Times New Roman" w:hAnsi="Times New Roman"/>
          <w:i/>
          <w:sz w:val="18"/>
          <w:szCs w:val="16"/>
          <w:lang w:val="es-ES_tradnl"/>
        </w:rPr>
        <w:t>a</w:t>
      </w:r>
      <w:r w:rsidRPr="008E3EF4">
        <w:rPr>
          <w:rFonts w:ascii="Times New Roman" w:hAnsi="Times New Roman"/>
          <w:i/>
          <w:sz w:val="18"/>
          <w:szCs w:val="16"/>
          <w:lang w:val="es-ES_tradnl"/>
        </w:rPr>
        <w:t>ndo</w:t>
      </w:r>
      <w:r>
        <w:rPr>
          <w:rFonts w:ascii="Times New Roman" w:hAnsi="Times New Roman"/>
          <w:i/>
          <w:sz w:val="18"/>
          <w:szCs w:val="16"/>
          <w:lang w:val="es-ES_tradnl"/>
        </w:rPr>
        <w:t xml:space="preserve"> el período auditado se solapa con dos períodos de utilización de la asignación, los estados financieros elaborados por el Receptor Principal deben distinguir los ingresos y gastos de cada período de utilización de la asignación. Este será el caso para las ampliaciones financiadas con los siguientes fondos de asignación.</w:t>
      </w:r>
      <w:r w:rsidRPr="008E3EF4">
        <w:rPr>
          <w:rFonts w:ascii="Times New Roman" w:hAnsi="Times New Roman"/>
          <w:i/>
          <w:sz w:val="18"/>
          <w:szCs w:val="16"/>
          <w:lang w:val="es-ES_tradnl"/>
        </w:rPr>
        <w:t xml:space="preserve"> </w:t>
      </w:r>
    </w:p>
  </w:footnote>
  <w:footnote w:id="4">
    <w:p w14:paraId="6CFEC348" w14:textId="77777777" w:rsidR="001345AA" w:rsidRPr="00811088" w:rsidRDefault="001345AA" w:rsidP="006352C9">
      <w:pPr>
        <w:pStyle w:val="FootnoteText"/>
        <w:rPr>
          <w:rFonts w:ascii="Times New Roman" w:hAnsi="Times New Roman"/>
          <w:i/>
          <w:sz w:val="18"/>
          <w:szCs w:val="16"/>
          <w:lang w:val="es-ES_tradnl"/>
        </w:rPr>
      </w:pPr>
      <w:r w:rsidRPr="006352C9">
        <w:rPr>
          <w:rStyle w:val="FootnoteReference"/>
          <w:sz w:val="20"/>
          <w:szCs w:val="16"/>
          <w:lang w:val="es-ES_tradnl"/>
        </w:rPr>
        <w:t>6</w:t>
      </w:r>
      <w:r w:rsidRPr="00FC0297">
        <w:rPr>
          <w:rStyle w:val="FootnoteReference"/>
          <w:sz w:val="20"/>
          <w:lang w:val="es-419"/>
        </w:rPr>
        <w:t xml:space="preserve"> </w:t>
      </w:r>
      <w:r w:rsidRPr="00811088">
        <w:rPr>
          <w:rFonts w:ascii="Times New Roman" w:hAnsi="Times New Roman"/>
          <w:i/>
          <w:sz w:val="18"/>
          <w:szCs w:val="16"/>
          <w:lang w:val="es-ES_tradnl"/>
        </w:rPr>
        <w:t>El presupuesto oficial aprobado que debe utilizarse para la comunicación de la información financiera es el que estaba disponible para el ciclo de presentación de informes, a no ser que haya sido modificado mediante una carta de ejecución durante dicho ciclo.</w:t>
      </w:r>
    </w:p>
    <w:p w14:paraId="04969F90" w14:textId="77777777" w:rsidR="001345AA" w:rsidRPr="008E3EF4" w:rsidRDefault="001345AA" w:rsidP="006C23EE">
      <w:pPr>
        <w:pStyle w:val="FootnoteText"/>
        <w:rPr>
          <w:rFonts w:ascii="Times New Roman" w:hAnsi="Times New Roman"/>
          <w:i/>
          <w:sz w:val="18"/>
          <w:szCs w:val="16"/>
          <w:lang w:val="es-ES_tradnl"/>
        </w:rPr>
      </w:pPr>
      <w:r w:rsidRPr="00811088">
        <w:rPr>
          <w:rStyle w:val="FootnoteReference"/>
          <w:sz w:val="20"/>
          <w:szCs w:val="16"/>
          <w:lang w:val="es-ES_tradnl"/>
        </w:rPr>
        <w:t>7</w:t>
      </w:r>
      <w:r w:rsidRPr="00811088">
        <w:rPr>
          <w:rFonts w:ascii="Times New Roman" w:hAnsi="Times New Roman"/>
          <w:i/>
          <w:sz w:val="18"/>
          <w:szCs w:val="16"/>
          <w:lang w:val="es-ES_tradnl"/>
        </w:rPr>
        <w:t xml:space="preserve"> Se deben proporcionar notas del estado de ingresos y gastos para los elementos del período en curso, los ajustes del período previo, y los sobrecostos en el período acumulado.</w:t>
      </w:r>
      <w:r>
        <w:rPr>
          <w:rFonts w:ascii="Times New Roman" w:hAnsi="Times New Roman"/>
          <w:i/>
          <w:sz w:val="18"/>
          <w:szCs w:val="16"/>
          <w:lang w:val="es-ES_tradnl"/>
        </w:rPr>
        <w:t xml:space="preserve"> </w:t>
      </w:r>
    </w:p>
  </w:footnote>
  <w:footnote w:id="5">
    <w:p w14:paraId="21741B46" w14:textId="1E74B734" w:rsidR="001345AA" w:rsidRPr="00C165E6" w:rsidRDefault="001345AA" w:rsidP="00CB34A0">
      <w:pPr>
        <w:pStyle w:val="ListParagraph"/>
        <w:ind w:left="0"/>
        <w:jc w:val="both"/>
        <w:rPr>
          <w:rFonts w:ascii="Times New Roman" w:hAnsi="Times New Roman"/>
          <w:i/>
          <w:sz w:val="18"/>
          <w:szCs w:val="16"/>
          <w:lang w:val="es-ES_tradnl"/>
        </w:rPr>
      </w:pPr>
      <w:r>
        <w:rPr>
          <w:rStyle w:val="FootnoteReference"/>
          <w:sz w:val="20"/>
          <w:szCs w:val="16"/>
          <w:lang w:val="es-ES_tradnl"/>
        </w:rPr>
        <w:t>8</w:t>
      </w:r>
      <w:r w:rsidRPr="008E3EF4">
        <w:rPr>
          <w:rFonts w:ascii="Times New Roman" w:hAnsi="Times New Roman"/>
          <w:i/>
          <w:sz w:val="18"/>
          <w:szCs w:val="16"/>
          <w:lang w:val="es-ES_tradnl"/>
        </w:rPr>
        <w:t xml:space="preserve">Anticipos al personal (con análisis de edad si fuese posible); depósitos reembolsables; cualesquiera saldos no conciliados; calendario de compromisos. Véanse los anexos 1 y </w:t>
      </w:r>
      <w:r w:rsidR="00811088" w:rsidRPr="008E3EF4">
        <w:rPr>
          <w:rFonts w:ascii="Times New Roman" w:hAnsi="Times New Roman"/>
          <w:i/>
          <w:sz w:val="18"/>
          <w:szCs w:val="16"/>
          <w:lang w:val="es-ES_tradnl"/>
        </w:rPr>
        <w:t>2.</w:t>
      </w:r>
    </w:p>
  </w:footnote>
  <w:footnote w:id="6">
    <w:p w14:paraId="7E471C99" w14:textId="77777777" w:rsidR="001345AA" w:rsidRPr="00C165E6" w:rsidRDefault="001345AA" w:rsidP="00CB34A0">
      <w:pPr>
        <w:pStyle w:val="FootnoteText"/>
        <w:jc w:val="both"/>
        <w:rPr>
          <w:rFonts w:ascii="Times New Roman" w:hAnsi="Times New Roman"/>
          <w:i/>
          <w:sz w:val="18"/>
          <w:szCs w:val="16"/>
          <w:lang w:val="es-ES_tradnl"/>
        </w:rPr>
      </w:pPr>
      <w:r w:rsidRPr="00FC0297">
        <w:rPr>
          <w:rStyle w:val="FootnoteReference"/>
          <w:szCs w:val="16"/>
          <w:lang w:val="es-419"/>
        </w:rPr>
        <w:t>9</w:t>
      </w:r>
      <w:r w:rsidRPr="002853AE">
        <w:rPr>
          <w:szCs w:val="16"/>
          <w:lang w:val="es-ES_tradnl"/>
        </w:rPr>
        <w:t xml:space="preserve"> </w:t>
      </w:r>
      <w:r w:rsidRPr="00C165E6">
        <w:rPr>
          <w:rFonts w:ascii="Times New Roman" w:hAnsi="Times New Roman"/>
          <w:i/>
          <w:sz w:val="18"/>
          <w:szCs w:val="16"/>
          <w:lang w:val="es-ES_tradnl"/>
        </w:rPr>
        <w:t>El Receptor Principal debe mantener un registro de activos fijos que el Equipo de País del Fondo Mundial y los diferentes proveedores de garantías podrán solicitar cuando así lo requieran</w:t>
      </w:r>
    </w:p>
  </w:footnote>
  <w:footnote w:id="7">
    <w:p w14:paraId="0921276D" w14:textId="77777777" w:rsidR="001345AA" w:rsidRDefault="001345AA" w:rsidP="00CB34A0">
      <w:pPr>
        <w:pStyle w:val="FootnoteText"/>
        <w:jc w:val="both"/>
        <w:rPr>
          <w:rFonts w:ascii="Times New Roman" w:hAnsi="Times New Roman"/>
          <w:i/>
          <w:sz w:val="18"/>
          <w:szCs w:val="16"/>
          <w:lang w:val="es-ES_tradnl"/>
        </w:rPr>
      </w:pPr>
      <w:r w:rsidRPr="00FC0297">
        <w:rPr>
          <w:rStyle w:val="FootnoteReference"/>
          <w:rFonts w:ascii="Times New Roman" w:hAnsi="Times New Roman"/>
          <w:i/>
          <w:sz w:val="18"/>
          <w:szCs w:val="16"/>
          <w:lang w:val="es-419"/>
        </w:rPr>
        <w:t>10</w:t>
      </w:r>
      <w:r w:rsidRPr="00C165E6">
        <w:rPr>
          <w:rFonts w:ascii="Times New Roman" w:hAnsi="Times New Roman"/>
          <w:i/>
          <w:sz w:val="18"/>
          <w:szCs w:val="16"/>
          <w:lang w:val="es-ES_tradnl"/>
        </w:rPr>
        <w:t xml:space="preserve"> Consulte los datos fiscales del Receptor Principal que se describen en </w:t>
      </w:r>
      <w:hyperlink r:id="rId2" w:history="1">
        <w:r w:rsidRPr="00C165E6">
          <w:rPr>
            <w:rStyle w:val="Hyperlink"/>
            <w:rFonts w:ascii="Times New Roman" w:eastAsia="MS Gothic" w:hAnsi="Times New Roman"/>
            <w:i/>
            <w:sz w:val="18"/>
            <w:szCs w:val="16"/>
            <w:lang w:val="es-ES_tradnl"/>
          </w:rPr>
          <w:t>las directrices generales sobre PU/DR</w:t>
        </w:r>
      </w:hyperlink>
      <w:r w:rsidRPr="00C165E6">
        <w:rPr>
          <w:rFonts w:ascii="Times New Roman" w:hAnsi="Times New Roman"/>
          <w:i/>
          <w:sz w:val="18"/>
          <w:szCs w:val="16"/>
          <w:lang w:val="es-ES_tradnl"/>
        </w:rPr>
        <w:t xml:space="preserve"> para más información.</w:t>
      </w:r>
    </w:p>
    <w:p w14:paraId="57F22E3A" w14:textId="77777777" w:rsidR="001345AA" w:rsidRDefault="001345AA" w:rsidP="00CB34A0">
      <w:pPr>
        <w:pStyle w:val="FootnoteText"/>
        <w:jc w:val="both"/>
        <w:rPr>
          <w:rFonts w:ascii="Times New Roman" w:hAnsi="Times New Roman"/>
          <w:i/>
          <w:sz w:val="18"/>
          <w:szCs w:val="16"/>
          <w:lang w:val="es-ES_tradnl"/>
        </w:rPr>
      </w:pPr>
      <w:r w:rsidRPr="00FC0297">
        <w:rPr>
          <w:rStyle w:val="FootnoteReference"/>
          <w:lang w:val="es-419"/>
        </w:rPr>
        <w:t>11</w:t>
      </w:r>
      <w:r w:rsidRPr="00FC0297">
        <w:rPr>
          <w:lang w:val="es-419"/>
        </w:rPr>
        <w:t xml:space="preserve"> </w:t>
      </w:r>
      <w:r w:rsidRPr="00C165E6">
        <w:rPr>
          <w:rFonts w:ascii="Times New Roman" w:hAnsi="Times New Roman"/>
          <w:i/>
          <w:sz w:val="18"/>
          <w:szCs w:val="16"/>
          <w:lang w:val="es-ES_tradnl"/>
        </w:rPr>
        <w:t>Cartas de ejecución</w:t>
      </w:r>
      <w:r>
        <w:rPr>
          <w:rFonts w:ascii="Times New Roman" w:hAnsi="Times New Roman"/>
          <w:i/>
          <w:sz w:val="18"/>
          <w:szCs w:val="16"/>
          <w:lang w:val="es-ES_tradnl"/>
        </w:rPr>
        <w:t xml:space="preserve"> acuerdos de los SR y el resto de acuerdos jurídicos pertinentes para la ejecución de la subvención.</w:t>
      </w:r>
    </w:p>
    <w:p w14:paraId="00E458AA" w14:textId="77777777" w:rsidR="001345AA" w:rsidRPr="00C165E6" w:rsidRDefault="001345AA" w:rsidP="00CB34A0">
      <w:pPr>
        <w:pStyle w:val="FootnoteText"/>
        <w:jc w:val="both"/>
        <w:rPr>
          <w:rFonts w:ascii="Times New Roman" w:hAnsi="Times New Roman"/>
          <w:i/>
          <w:sz w:val="18"/>
          <w:szCs w:val="16"/>
          <w:lang w:val="es-ES_tradnl"/>
        </w:rPr>
      </w:pPr>
      <w:r w:rsidRPr="00397362">
        <w:rPr>
          <w:rFonts w:ascii="Times New Roman" w:hAnsi="Times New Roman"/>
          <w:i/>
          <w:sz w:val="18"/>
          <w:szCs w:val="16"/>
          <w:lang w:val="es-ES_tradnl"/>
        </w:rPr>
        <w:t>Se deben proporcionar notas del estado de ingresos y gastos para los elementos del período en curso, los ajustes del período previo, y los sobrecostos en el período acumulado</w:t>
      </w:r>
    </w:p>
  </w:footnote>
  <w:footnote w:id="8">
    <w:p w14:paraId="532A3352" w14:textId="77777777" w:rsidR="001345AA" w:rsidRPr="00FF77AB" w:rsidRDefault="001345AA" w:rsidP="00A12D4D">
      <w:pPr>
        <w:pStyle w:val="FootnoteText"/>
        <w:jc w:val="both"/>
        <w:rPr>
          <w:rFonts w:ascii="Times New Roman" w:hAnsi="Times New Roman"/>
          <w:szCs w:val="16"/>
          <w:lang w:val="es-ES_tradnl"/>
        </w:rPr>
      </w:pPr>
      <w:r>
        <w:rPr>
          <w:rStyle w:val="FootnoteReference"/>
          <w:rFonts w:ascii="Times New Roman" w:hAnsi="Times New Roman"/>
          <w:szCs w:val="16"/>
          <w:lang w:val="es-ES_tradnl"/>
        </w:rPr>
        <w:t>12</w:t>
      </w:r>
      <w:r w:rsidRPr="00FF77AB">
        <w:rPr>
          <w:rFonts w:ascii="Times New Roman" w:hAnsi="Times New Roman"/>
          <w:szCs w:val="16"/>
          <w:lang w:val="es-ES_tradnl"/>
        </w:rPr>
        <w:t xml:space="preserve"> </w:t>
      </w:r>
      <w:r w:rsidRPr="00FF77AB">
        <w:rPr>
          <w:rFonts w:ascii="Times New Roman" w:hAnsi="Times New Roman"/>
          <w:i/>
          <w:sz w:val="20"/>
          <w:szCs w:val="16"/>
          <w:lang w:val="es-ES_tradnl"/>
        </w:rPr>
        <w:t>Procedentes de intereses generados, ingresos, ganancias derivadas del tipo de cambio, recuperación de impuestos, recuperación de fondos a partir de gastos no elegibles o de otros conceptos, etc.</w:t>
      </w:r>
    </w:p>
  </w:footnote>
  <w:footnote w:id="9">
    <w:p w14:paraId="14FFA829" w14:textId="77777777" w:rsidR="001345AA" w:rsidRPr="005819FD" w:rsidRDefault="001345AA" w:rsidP="00E1562E">
      <w:pPr>
        <w:pStyle w:val="FootnoteText"/>
        <w:jc w:val="both"/>
        <w:rPr>
          <w:szCs w:val="16"/>
          <w:lang w:val="es-ES"/>
        </w:rPr>
      </w:pPr>
      <w:r>
        <w:rPr>
          <w:rStyle w:val="FootnoteReference"/>
          <w:lang w:val="es"/>
        </w:rPr>
        <w:footnoteRef/>
      </w:r>
      <w:r>
        <w:rPr>
          <w:lang w:val="es"/>
        </w:rPr>
        <w:t xml:space="preserve"> </w:t>
      </w:r>
      <w:r w:rsidRPr="004339BB">
        <w:rPr>
          <w:sz w:val="24"/>
          <w:szCs w:val="24"/>
          <w:lang w:val="es"/>
        </w:rPr>
        <w:t>Por ejemplo, agentes fiduciarios, agentes fiscales, almacenes médicos centrales y otros. Sin embargo, se excluyen aquí los procesos gestionados por el Fondo Mundial, como el Mecanismo de Adquisiciones Conjuntas/Wambo</w:t>
      </w:r>
      <w:r>
        <w:rPr>
          <w:szCs w:val="16"/>
          <w:lang w:val="es"/>
        </w:rPr>
        <w:t xml:space="preserve">. </w:t>
      </w:r>
    </w:p>
  </w:footnote>
  <w:footnote w:id="10">
    <w:p w14:paraId="2EE2E3E5" w14:textId="77777777" w:rsidR="001345AA" w:rsidRPr="00FF77AB" w:rsidRDefault="001345AA" w:rsidP="00A12D4D">
      <w:pPr>
        <w:pStyle w:val="FootnoteText"/>
        <w:jc w:val="both"/>
        <w:rPr>
          <w:rFonts w:ascii="Times New Roman" w:hAnsi="Times New Roman"/>
          <w:i/>
          <w:sz w:val="20"/>
          <w:lang w:val="es-ES_tradnl"/>
        </w:rPr>
      </w:pPr>
      <w:r w:rsidRPr="00F65365">
        <w:rPr>
          <w:rStyle w:val="FootnoteReference"/>
          <w:szCs w:val="16"/>
          <w:lang w:val="es-ES_tradnl"/>
        </w:rPr>
        <w:footnoteRef/>
      </w:r>
      <w:r w:rsidRPr="00F65365">
        <w:rPr>
          <w:szCs w:val="16"/>
          <w:lang w:val="es-ES_tradnl"/>
        </w:rPr>
        <w:t xml:space="preserve"> </w:t>
      </w:r>
      <w:r w:rsidRPr="00FF77AB">
        <w:rPr>
          <w:rFonts w:ascii="Times New Roman" w:hAnsi="Times New Roman"/>
          <w:i/>
          <w:sz w:val="20"/>
          <w:szCs w:val="16"/>
          <w:lang w:val="es-ES_tradnl"/>
        </w:rPr>
        <w:t>Excluye todas las adquisiciones realizadas directamente por el Fondo Mundial en nombre del Receptor Principal tales como los mecanismos de adquisición conjunta/Wambo.</w:t>
      </w:r>
    </w:p>
    <w:p w14:paraId="514D881B" w14:textId="77777777" w:rsidR="001345AA" w:rsidRPr="00FF77AB" w:rsidRDefault="001345AA" w:rsidP="00A12D4D">
      <w:pPr>
        <w:pStyle w:val="FootnoteText"/>
        <w:jc w:val="both"/>
        <w:rPr>
          <w:rFonts w:ascii="Times New Roman" w:hAnsi="Times New Roman"/>
          <w:i/>
          <w:sz w:val="20"/>
          <w:lang w:val="es-ES_tradnl"/>
        </w:rPr>
      </w:pPr>
    </w:p>
  </w:footnote>
  <w:footnote w:id="11">
    <w:p w14:paraId="266B4B54" w14:textId="77777777" w:rsidR="001345AA" w:rsidRPr="00EC5044" w:rsidRDefault="001345AA" w:rsidP="00362D53">
      <w:pPr>
        <w:pStyle w:val="FootnoteText"/>
        <w:jc w:val="both"/>
        <w:rPr>
          <w:lang w:val="es-ES_tradnl"/>
        </w:rPr>
      </w:pPr>
      <w:r>
        <w:rPr>
          <w:rStyle w:val="FootnoteReference"/>
        </w:rPr>
        <w:footnoteRef/>
      </w:r>
      <w:r w:rsidRPr="002853AE">
        <w:rPr>
          <w:lang w:val="es-ES_tradnl"/>
        </w:rPr>
        <w:t xml:space="preserve"> </w:t>
      </w:r>
      <w:r w:rsidRPr="00FF77AB">
        <w:rPr>
          <w:rFonts w:ascii="Times New Roman" w:hAnsi="Times New Roman"/>
          <w:i/>
          <w:sz w:val="20"/>
          <w:lang w:val="es-ES_tradnl"/>
        </w:rPr>
        <w:t>El especialista en finanzas del Fondo Mundial puede participar directamente con el auditor en aquellas instancias en las que la independencia y la naturaleza imprevisible de las auditorías pueden verse comprometidas al compartir el plan de auditoría detallado con el Receptor Principal.</w:t>
      </w:r>
    </w:p>
  </w:footnote>
  <w:footnote w:id="12">
    <w:p w14:paraId="7D358EFB" w14:textId="77777777" w:rsidR="001345AA" w:rsidRPr="002853AE" w:rsidRDefault="001345AA" w:rsidP="00362D53">
      <w:pPr>
        <w:pStyle w:val="FootnoteText"/>
        <w:jc w:val="both"/>
        <w:rPr>
          <w:szCs w:val="16"/>
          <w:lang w:val="es-ES_tradnl"/>
        </w:rPr>
      </w:pPr>
      <w:r w:rsidRPr="00880B8A">
        <w:rPr>
          <w:rStyle w:val="FootnoteReference"/>
          <w:szCs w:val="16"/>
        </w:rPr>
        <w:footnoteRef/>
      </w:r>
      <w:r w:rsidRPr="002853AE">
        <w:rPr>
          <w:szCs w:val="16"/>
          <w:lang w:val="es-ES_tradnl"/>
        </w:rPr>
        <w:t xml:space="preserve"> </w:t>
      </w:r>
      <w:r w:rsidRPr="00FF77AB">
        <w:rPr>
          <w:rFonts w:ascii="Times New Roman" w:hAnsi="Times New Roman"/>
          <w:i/>
          <w:color w:val="323439"/>
          <w:sz w:val="20"/>
          <w:szCs w:val="16"/>
          <w:lang w:val="es-ES_tradnl"/>
        </w:rPr>
        <w:t xml:space="preserve">Para el diseño y desempeño de las pruebas de control, consulte el siguiente enlace: </w:t>
      </w:r>
      <w:hyperlink r:id="rId3" w:history="1">
        <w:r w:rsidRPr="00FF77AB">
          <w:rPr>
            <w:rStyle w:val="Hyperlink"/>
            <w:rFonts w:ascii="Times New Roman" w:hAnsi="Times New Roman"/>
            <w:i/>
            <w:sz w:val="20"/>
            <w:szCs w:val="16"/>
            <w:lang w:val="es-ES_tradnl"/>
          </w:rPr>
          <w:t>https://www.coursehero.com/file/p13iulp/When-designing-and-performing-tests-of-c</w:t>
        </w:r>
      </w:hyperlink>
      <w:r>
        <w:rPr>
          <w:rFonts w:cs="component/view/resources/fonts/"/>
          <w:color w:val="323439"/>
          <w:szCs w:val="16"/>
          <w:lang w:val="es-ES_tradnl"/>
        </w:rPr>
        <w:t xml:space="preserve"> </w:t>
      </w:r>
    </w:p>
  </w:footnote>
  <w:footnote w:id="13">
    <w:p w14:paraId="0ABB3F9A" w14:textId="77777777" w:rsidR="001345AA" w:rsidRPr="00FF77AB" w:rsidRDefault="001345AA">
      <w:pPr>
        <w:pStyle w:val="FootnoteText"/>
        <w:rPr>
          <w:lang w:val="es-NI"/>
        </w:rPr>
      </w:pPr>
      <w:r>
        <w:rPr>
          <w:rStyle w:val="FootnoteReference"/>
        </w:rPr>
        <w:footnoteRef/>
      </w:r>
      <w:r w:rsidRPr="00FF77AB">
        <w:rPr>
          <w:lang w:val="es-NI"/>
        </w:rPr>
        <w:t xml:space="preserve"> </w:t>
      </w:r>
      <w:r w:rsidRPr="00FF77AB">
        <w:rPr>
          <w:rFonts w:ascii="Times New Roman" w:hAnsi="Times New Roman"/>
          <w:i/>
          <w:sz w:val="20"/>
          <w:lang w:val="es-ES_tradnl"/>
        </w:rPr>
        <w:t>Todas las deficiencias relativas a gestión de programas, gestión de existencias, gestión financiera, etc. que no han sido descritas en las otras 4 secciones de la carta de gestión.</w:t>
      </w:r>
    </w:p>
  </w:footnote>
  <w:footnote w:id="14">
    <w:p w14:paraId="4C83B9B5" w14:textId="77777777" w:rsidR="001345AA" w:rsidRPr="00FF77AB" w:rsidRDefault="001345AA" w:rsidP="00666282">
      <w:pPr>
        <w:pStyle w:val="FootnoteText"/>
        <w:jc w:val="both"/>
        <w:rPr>
          <w:rFonts w:ascii="Times New Roman" w:hAnsi="Times New Roman"/>
          <w:i/>
          <w:sz w:val="24"/>
          <w:lang w:val="es-ES_tradnl"/>
        </w:rPr>
      </w:pPr>
      <w:r w:rsidRPr="00A74058">
        <w:rPr>
          <w:rStyle w:val="FootnoteReference"/>
          <w:lang w:val="es-ES_tradnl"/>
        </w:rPr>
        <w:footnoteRef/>
      </w:r>
      <w:r w:rsidRPr="00A74058">
        <w:rPr>
          <w:lang w:val="es-ES_tradnl"/>
        </w:rPr>
        <w:t xml:space="preserve"> </w:t>
      </w:r>
      <w:r w:rsidRPr="00FF77AB">
        <w:rPr>
          <w:rFonts w:ascii="Times New Roman" w:hAnsi="Times New Roman"/>
          <w:i/>
          <w:sz w:val="20"/>
          <w:lang w:val="es-ES_tradnl"/>
        </w:rPr>
        <w:t xml:space="preserve">Consultar la Sección 2.1 de la directriz. </w:t>
      </w:r>
    </w:p>
  </w:footnote>
  <w:footnote w:id="15">
    <w:p w14:paraId="74782885" w14:textId="77777777" w:rsidR="001345AA" w:rsidRPr="00FF77AB" w:rsidRDefault="001345AA" w:rsidP="00485CE3">
      <w:pPr>
        <w:pStyle w:val="FootnoteText"/>
        <w:jc w:val="both"/>
        <w:rPr>
          <w:rFonts w:ascii="Times New Roman" w:hAnsi="Times New Roman"/>
          <w:i/>
          <w:sz w:val="20"/>
          <w:szCs w:val="16"/>
          <w:lang w:val="es-ES_tradnl"/>
        </w:rPr>
      </w:pPr>
      <w:r w:rsidRPr="00DF5DE7">
        <w:rPr>
          <w:rStyle w:val="FootnoteReference"/>
          <w:lang w:val="es-ES_tradnl"/>
        </w:rPr>
        <w:footnoteRef/>
      </w:r>
      <w:r w:rsidRPr="00DF5DE7">
        <w:rPr>
          <w:lang w:val="es-ES_tradnl"/>
        </w:rPr>
        <w:t xml:space="preserve"> </w:t>
      </w:r>
      <w:r w:rsidRPr="00FF77AB">
        <w:rPr>
          <w:rFonts w:ascii="Times New Roman" w:hAnsi="Times New Roman"/>
          <w:i/>
          <w:sz w:val="20"/>
          <w:szCs w:val="16"/>
          <w:lang w:val="es-ES_tradnl"/>
        </w:rPr>
        <w:t>Cuando la firma auditora es seleccionada directamente por el Receptor Principal y, por lo tanto, tiene una relación contractual directa con el Receptor Principal se espera que este contrato incluya una cláusula en la que se requiera que el auditor envíe directamente una copia electrónica del informe final de auditoría al Fondo Mundial.</w:t>
      </w:r>
    </w:p>
  </w:footnote>
  <w:footnote w:id="16">
    <w:p w14:paraId="40B7795E" w14:textId="77777777" w:rsidR="001345AA" w:rsidRPr="00FF77AB" w:rsidRDefault="001345AA" w:rsidP="00485CE3">
      <w:pPr>
        <w:pStyle w:val="FootnoteText"/>
        <w:jc w:val="both"/>
        <w:rPr>
          <w:rFonts w:ascii="Times New Roman" w:hAnsi="Times New Roman"/>
          <w:i/>
          <w:sz w:val="20"/>
          <w:lang w:val="es-ES_tradnl"/>
        </w:rPr>
      </w:pPr>
      <w:r w:rsidRPr="00DF5DE7">
        <w:rPr>
          <w:rStyle w:val="FootnoteReference"/>
          <w:szCs w:val="16"/>
          <w:lang w:val="es-ES_tradnl"/>
        </w:rPr>
        <w:footnoteRef/>
      </w:r>
      <w:r w:rsidRPr="00DF5DE7">
        <w:rPr>
          <w:szCs w:val="16"/>
          <w:lang w:val="es-ES_tradnl"/>
        </w:rPr>
        <w:t xml:space="preserve"> </w:t>
      </w:r>
      <w:r w:rsidRPr="00FF77AB">
        <w:rPr>
          <w:rFonts w:ascii="Times New Roman" w:hAnsi="Times New Roman"/>
          <w:i/>
          <w:sz w:val="20"/>
          <w:szCs w:val="16"/>
          <w:lang w:val="es-ES_tradnl"/>
        </w:rPr>
        <w:t xml:space="preserve">Esta responsabilidad recae sobre el auditor y debe mencionarse en el contrato entre el Receptor Principal y el auditor.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DAD0" w14:textId="77777777" w:rsidR="001345AA" w:rsidRPr="00FC0297" w:rsidRDefault="001345AA" w:rsidP="00623921">
    <w:pPr>
      <w:pStyle w:val="Header"/>
      <w:jc w:val="right"/>
      <w:rPr>
        <w:rFonts w:ascii="Arial" w:hAnsi="Arial" w:cs="Arial"/>
        <w:color w:val="002060"/>
        <w:sz w:val="20"/>
        <w:lang w:val="es-419"/>
      </w:rPr>
    </w:pPr>
    <w:r w:rsidRPr="00FC0297">
      <w:rPr>
        <w:rFonts w:ascii="Arial" w:hAnsi="Arial" w:cs="Arial"/>
        <w:color w:val="002060"/>
        <w:sz w:val="20"/>
        <w:lang w:val="es-419"/>
      </w:rPr>
      <w:t>Número Perpetuo: 2134 / NURAE: J-22-01-2021-0002 / RUC: J0810000033156</w:t>
    </w:r>
  </w:p>
  <w:p w14:paraId="184E2A11" w14:textId="77777777" w:rsidR="001345AA" w:rsidRPr="00FC0297" w:rsidRDefault="001345AA">
    <w:pPr>
      <w:pStyle w:val="Heade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E03" w14:textId="77777777" w:rsidR="001345AA" w:rsidRDefault="0013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B35"/>
    <w:multiLevelType w:val="hybridMultilevel"/>
    <w:tmpl w:val="0FC69C3C"/>
    <w:lvl w:ilvl="0" w:tplc="4C0A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E7021"/>
    <w:multiLevelType w:val="hybridMultilevel"/>
    <w:tmpl w:val="96AA768E"/>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76492"/>
    <w:multiLevelType w:val="hybridMultilevel"/>
    <w:tmpl w:val="7ACA3D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6" w15:restartNumberingAfterBreak="0">
    <w:nsid w:val="13892560"/>
    <w:multiLevelType w:val="multilevel"/>
    <w:tmpl w:val="52FAC8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1C0C73"/>
    <w:multiLevelType w:val="hybridMultilevel"/>
    <w:tmpl w:val="785E325E"/>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15:restartNumberingAfterBreak="0">
    <w:nsid w:val="194E0805"/>
    <w:multiLevelType w:val="multilevel"/>
    <w:tmpl w:val="B6DA5092"/>
    <w:lvl w:ilvl="0">
      <w:start w:val="8"/>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19713FA0"/>
    <w:multiLevelType w:val="multilevel"/>
    <w:tmpl w:val="415A9A2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0" w15:restartNumberingAfterBreak="0">
    <w:nsid w:val="1A932FC0"/>
    <w:multiLevelType w:val="hybridMultilevel"/>
    <w:tmpl w:val="22D83D20"/>
    <w:lvl w:ilvl="0" w:tplc="4C0A0013">
      <w:start w:val="1"/>
      <w:numFmt w:val="upperRoman"/>
      <w:lvlText w:val="%1."/>
      <w:lvlJc w:val="right"/>
      <w:pPr>
        <w:ind w:left="720" w:hanging="360"/>
      </w:pPr>
    </w:lvl>
    <w:lvl w:ilvl="1" w:tplc="4C0A001B">
      <w:start w:val="1"/>
      <w:numFmt w:val="lowerRoman"/>
      <w:lvlText w:val="%2."/>
      <w:lvlJc w:val="right"/>
      <w:pPr>
        <w:ind w:left="1440" w:hanging="360"/>
      </w:pPr>
    </w:lvl>
    <w:lvl w:ilvl="2" w:tplc="692E6256">
      <w:start w:val="6"/>
      <w:numFmt w:val="decimal"/>
      <w:lvlText w:val="%3"/>
      <w:lvlJc w:val="left"/>
      <w:pPr>
        <w:ind w:left="2340" w:hanging="360"/>
      </w:pPr>
      <w:rPr>
        <w:rFonts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1EC779E8"/>
    <w:multiLevelType w:val="hybridMultilevel"/>
    <w:tmpl w:val="254064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55F0E"/>
    <w:multiLevelType w:val="hybridMultilevel"/>
    <w:tmpl w:val="CB0E77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D0711"/>
    <w:multiLevelType w:val="hybridMultilevel"/>
    <w:tmpl w:val="407415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654867"/>
    <w:multiLevelType w:val="hybridMultilevel"/>
    <w:tmpl w:val="D7380BA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15:restartNumberingAfterBreak="0">
    <w:nsid w:val="329D7BEC"/>
    <w:multiLevelType w:val="hybridMultilevel"/>
    <w:tmpl w:val="D23CD4F4"/>
    <w:lvl w:ilvl="0" w:tplc="4C0A0005">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35924F5B"/>
    <w:multiLevelType w:val="hybridMultilevel"/>
    <w:tmpl w:val="567075E4"/>
    <w:lvl w:ilvl="0" w:tplc="4C0A0017">
      <w:start w:val="1"/>
      <w:numFmt w:val="lowerLetter"/>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35BE7464"/>
    <w:multiLevelType w:val="hybridMultilevel"/>
    <w:tmpl w:val="F1DABE06"/>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B4224B5"/>
    <w:multiLevelType w:val="hybridMultilevel"/>
    <w:tmpl w:val="BE96344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4"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3FB42D1"/>
    <w:multiLevelType w:val="hybridMultilevel"/>
    <w:tmpl w:val="E7C64C5C"/>
    <w:lvl w:ilvl="0" w:tplc="0C0A0001">
      <w:start w:val="1"/>
      <w:numFmt w:val="bullet"/>
      <w:lvlText w:val=""/>
      <w:lvlJc w:val="left"/>
      <w:pPr>
        <w:tabs>
          <w:tab w:val="num" w:pos="1080"/>
        </w:tabs>
        <w:ind w:left="1080" w:hanging="360"/>
      </w:pPr>
      <w:rPr>
        <w:rFonts w:ascii="Symbol" w:hAnsi="Symbol" w:hint="default"/>
      </w:rPr>
    </w:lvl>
    <w:lvl w:ilvl="1" w:tplc="11567C54">
      <w:start w:val="1"/>
      <w:numFmt w:val="decimal"/>
      <w:lvlText w:val="%2."/>
      <w:lvlJc w:val="left"/>
      <w:pPr>
        <w:tabs>
          <w:tab w:val="num" w:pos="1980"/>
        </w:tabs>
        <w:ind w:left="1980" w:hanging="540"/>
      </w:pPr>
      <w:rPr>
        <w:rFonts w:hint="default"/>
      </w:rPr>
    </w:lvl>
    <w:lvl w:ilvl="2" w:tplc="0C0A0001">
      <w:start w:val="1"/>
      <w:numFmt w:val="bullet"/>
      <w:lvlText w:val=""/>
      <w:lvlJc w:val="left"/>
      <w:pPr>
        <w:tabs>
          <w:tab w:val="num" w:pos="360"/>
        </w:tabs>
        <w:ind w:left="360" w:hanging="360"/>
      </w:pPr>
      <w:rPr>
        <w:rFonts w:ascii="Symbol" w:hAnsi="Symbol" w:hint="default"/>
      </w:rPr>
    </w:lvl>
    <w:lvl w:ilvl="3" w:tplc="0409000B">
      <w:start w:val="1"/>
      <w:numFmt w:val="bullet"/>
      <w:lvlText w:val=""/>
      <w:lvlJc w:val="left"/>
      <w:pPr>
        <w:tabs>
          <w:tab w:val="num" w:pos="3240"/>
        </w:tabs>
        <w:ind w:left="3240" w:hanging="360"/>
      </w:pPr>
      <w:rPr>
        <w:rFonts w:ascii="Wingdings" w:hAnsi="Wingdings" w:hint="default"/>
      </w:rPr>
    </w:lvl>
    <w:lvl w:ilvl="4" w:tplc="DCF6422A">
      <w:start w:val="3"/>
      <w:numFmt w:val="lowerLetter"/>
      <w:lvlText w:val="%5."/>
      <w:lvlJc w:val="left"/>
      <w:pPr>
        <w:ind w:left="3960" w:hanging="360"/>
      </w:pPr>
      <w:rPr>
        <w:rFonts w:hint="default"/>
        <w:lang w:val="es-ES_tradnl"/>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0C4D4F"/>
    <w:multiLevelType w:val="hybridMultilevel"/>
    <w:tmpl w:val="2BBC4DD0"/>
    <w:lvl w:ilvl="0" w:tplc="04090001">
      <w:start w:val="1"/>
      <w:numFmt w:val="bullet"/>
      <w:lvlText w:val=""/>
      <w:lvlJc w:val="left"/>
      <w:pPr>
        <w:tabs>
          <w:tab w:val="num" w:pos="360"/>
        </w:tabs>
        <w:ind w:left="360" w:hanging="360"/>
      </w:pPr>
      <w:rPr>
        <w:rFonts w:ascii="Symbol" w:hAnsi="Symbol" w:hint="default"/>
      </w:rPr>
    </w:lvl>
    <w:lvl w:ilvl="1" w:tplc="DC7E6C2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2D3C51"/>
    <w:multiLevelType w:val="hybridMultilevel"/>
    <w:tmpl w:val="51D489C4"/>
    <w:lvl w:ilvl="0" w:tplc="4C0A0017">
      <w:start w:val="1"/>
      <w:numFmt w:val="lowerLetter"/>
      <w:lvlText w:val="%1)"/>
      <w:lvlJc w:val="left"/>
      <w:pPr>
        <w:ind w:left="360" w:hanging="360"/>
      </w:pPr>
    </w:lvl>
    <w:lvl w:ilvl="1" w:tplc="4C0A0019">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8" w15:restartNumberingAfterBreak="0">
    <w:nsid w:val="4F9714B2"/>
    <w:multiLevelType w:val="hybridMultilevel"/>
    <w:tmpl w:val="59BCF4DE"/>
    <w:lvl w:ilvl="0" w:tplc="4C0A001B">
      <w:start w:val="1"/>
      <w:numFmt w:val="lowerRoman"/>
      <w:lvlText w:val="%1."/>
      <w:lvlJc w:val="right"/>
      <w:pPr>
        <w:ind w:left="1429" w:hanging="360"/>
      </w:pPr>
    </w:lvl>
    <w:lvl w:ilvl="1" w:tplc="4C0A001B">
      <w:start w:val="1"/>
      <w:numFmt w:val="lowerRoman"/>
      <w:lvlText w:val="%2."/>
      <w:lvlJc w:val="right"/>
      <w:pPr>
        <w:ind w:left="2149" w:hanging="360"/>
      </w:pPr>
    </w:lvl>
    <w:lvl w:ilvl="2" w:tplc="4C0A001B" w:tentative="1">
      <w:start w:val="1"/>
      <w:numFmt w:val="lowerRoman"/>
      <w:lvlText w:val="%3."/>
      <w:lvlJc w:val="right"/>
      <w:pPr>
        <w:ind w:left="2869" w:hanging="180"/>
      </w:pPr>
    </w:lvl>
    <w:lvl w:ilvl="3" w:tplc="4C0A000F" w:tentative="1">
      <w:start w:val="1"/>
      <w:numFmt w:val="decimal"/>
      <w:lvlText w:val="%4."/>
      <w:lvlJc w:val="left"/>
      <w:pPr>
        <w:ind w:left="3589" w:hanging="360"/>
      </w:pPr>
    </w:lvl>
    <w:lvl w:ilvl="4" w:tplc="4C0A0019" w:tentative="1">
      <w:start w:val="1"/>
      <w:numFmt w:val="lowerLetter"/>
      <w:lvlText w:val="%5."/>
      <w:lvlJc w:val="left"/>
      <w:pPr>
        <w:ind w:left="4309" w:hanging="360"/>
      </w:pPr>
    </w:lvl>
    <w:lvl w:ilvl="5" w:tplc="4C0A001B" w:tentative="1">
      <w:start w:val="1"/>
      <w:numFmt w:val="lowerRoman"/>
      <w:lvlText w:val="%6."/>
      <w:lvlJc w:val="right"/>
      <w:pPr>
        <w:ind w:left="5029" w:hanging="180"/>
      </w:pPr>
    </w:lvl>
    <w:lvl w:ilvl="6" w:tplc="4C0A000F" w:tentative="1">
      <w:start w:val="1"/>
      <w:numFmt w:val="decimal"/>
      <w:lvlText w:val="%7."/>
      <w:lvlJc w:val="left"/>
      <w:pPr>
        <w:ind w:left="5749" w:hanging="360"/>
      </w:pPr>
    </w:lvl>
    <w:lvl w:ilvl="7" w:tplc="4C0A0019" w:tentative="1">
      <w:start w:val="1"/>
      <w:numFmt w:val="lowerLetter"/>
      <w:lvlText w:val="%8."/>
      <w:lvlJc w:val="left"/>
      <w:pPr>
        <w:ind w:left="6469" w:hanging="360"/>
      </w:pPr>
    </w:lvl>
    <w:lvl w:ilvl="8" w:tplc="4C0A001B" w:tentative="1">
      <w:start w:val="1"/>
      <w:numFmt w:val="lowerRoman"/>
      <w:lvlText w:val="%9."/>
      <w:lvlJc w:val="right"/>
      <w:pPr>
        <w:ind w:left="7189" w:hanging="180"/>
      </w:pPr>
    </w:lvl>
  </w:abstractNum>
  <w:abstractNum w:abstractNumId="29" w15:restartNumberingAfterBreak="0">
    <w:nsid w:val="53F47A7B"/>
    <w:multiLevelType w:val="hybridMultilevel"/>
    <w:tmpl w:val="6682E98A"/>
    <w:lvl w:ilvl="0" w:tplc="4C0A000F">
      <w:start w:val="1"/>
      <w:numFmt w:val="decimal"/>
      <w:lvlText w:val="%1."/>
      <w:lvlJc w:val="left"/>
      <w:pPr>
        <w:ind w:left="644" w:hanging="360"/>
      </w:pPr>
      <w:rPr>
        <w:rFonts w:hint="default"/>
      </w:rPr>
    </w:lvl>
    <w:lvl w:ilvl="1" w:tplc="D224521E">
      <w:start w:val="1"/>
      <w:numFmt w:val="lowerRoman"/>
      <w:lvlText w:val="%2."/>
      <w:lvlJc w:val="left"/>
      <w:pPr>
        <w:ind w:left="1800" w:hanging="720"/>
      </w:pPr>
      <w:rPr>
        <w:rFonts w:hint="default"/>
      </w:r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0" w15:restartNumberingAfterBreak="0">
    <w:nsid w:val="575B1528"/>
    <w:multiLevelType w:val="hybridMultilevel"/>
    <w:tmpl w:val="588AFDC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1" w15:restartNumberingAfterBreak="0">
    <w:nsid w:val="5C8F2A18"/>
    <w:multiLevelType w:val="hybridMultilevel"/>
    <w:tmpl w:val="09F08B44"/>
    <w:lvl w:ilvl="0" w:tplc="04090003">
      <w:start w:val="1"/>
      <w:numFmt w:val="bullet"/>
      <w:lvlText w:val="o"/>
      <w:lvlJc w:val="left"/>
      <w:pPr>
        <w:ind w:left="144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15:restartNumberingAfterBreak="0">
    <w:nsid w:val="5C9873B1"/>
    <w:multiLevelType w:val="hybridMultilevel"/>
    <w:tmpl w:val="CB866C52"/>
    <w:lvl w:ilvl="0" w:tplc="4C0A000D">
      <w:start w:val="1"/>
      <w:numFmt w:val="bullet"/>
      <w:lvlText w:val=""/>
      <w:lvlJc w:val="left"/>
      <w:pPr>
        <w:tabs>
          <w:tab w:val="num" w:pos="720"/>
        </w:tabs>
        <w:ind w:left="720" w:hanging="360"/>
      </w:pPr>
      <w:rPr>
        <w:rFonts w:ascii="Wingdings" w:hAnsi="Wingdings" w:hint="default"/>
      </w:rPr>
    </w:lvl>
    <w:lvl w:ilvl="1" w:tplc="E0DACB90">
      <w:start w:val="1"/>
      <w:numFmt w:val="lowerRoman"/>
      <w:lvlText w:val="%2."/>
      <w:lvlJc w:val="left"/>
      <w:pPr>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FD11366"/>
    <w:multiLevelType w:val="hybridMultilevel"/>
    <w:tmpl w:val="6468460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15:restartNumberingAfterBreak="0">
    <w:nsid w:val="606C605F"/>
    <w:multiLevelType w:val="hybridMultilevel"/>
    <w:tmpl w:val="C2AA6B40"/>
    <w:lvl w:ilvl="0" w:tplc="4C0A000D">
      <w:start w:val="1"/>
      <w:numFmt w:val="bullet"/>
      <w:lvlText w:val=""/>
      <w:lvlJc w:val="left"/>
      <w:pPr>
        <w:ind w:left="1080" w:hanging="360"/>
      </w:pPr>
      <w:rPr>
        <w:rFonts w:ascii="Wingdings" w:hAnsi="Wingding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5" w15:restartNumberingAfterBreak="0">
    <w:nsid w:val="608C21A7"/>
    <w:multiLevelType w:val="hybridMultilevel"/>
    <w:tmpl w:val="7B46C46E"/>
    <w:lvl w:ilvl="0" w:tplc="4C0A001B">
      <w:start w:val="1"/>
      <w:numFmt w:val="lowerRoman"/>
      <w:lvlText w:val="%1."/>
      <w:lvlJc w:val="righ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15:restartNumberingAfterBreak="0">
    <w:nsid w:val="65693F12"/>
    <w:multiLevelType w:val="multilevel"/>
    <w:tmpl w:val="04B262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A052D2"/>
    <w:multiLevelType w:val="hybridMultilevel"/>
    <w:tmpl w:val="110C78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E115EB"/>
    <w:multiLevelType w:val="hybridMultilevel"/>
    <w:tmpl w:val="8AE29EB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B0D23AC"/>
    <w:multiLevelType w:val="hybridMultilevel"/>
    <w:tmpl w:val="A860F84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15:restartNumberingAfterBreak="0">
    <w:nsid w:val="762D7B2C"/>
    <w:multiLevelType w:val="hybridMultilevel"/>
    <w:tmpl w:val="BC2A22A6"/>
    <w:lvl w:ilvl="0" w:tplc="FFFFFFFF">
      <w:start w:val="1"/>
      <w:numFmt w:val="lowerRoman"/>
      <w:lvlText w:val="%1."/>
      <w:lvlJc w:val="right"/>
      <w:pPr>
        <w:ind w:left="100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1"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92857DB"/>
    <w:multiLevelType w:val="hybridMultilevel"/>
    <w:tmpl w:val="8F621300"/>
    <w:lvl w:ilvl="0" w:tplc="4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BA15E6"/>
    <w:multiLevelType w:val="hybridMultilevel"/>
    <w:tmpl w:val="79B47E2C"/>
    <w:lvl w:ilvl="0" w:tplc="4C0A001B">
      <w:start w:val="1"/>
      <w:numFmt w:val="lowerRoman"/>
      <w:lvlText w:val="%1."/>
      <w:lvlJc w:val="righ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4"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DA874AD"/>
    <w:multiLevelType w:val="hybridMultilevel"/>
    <w:tmpl w:val="A8A418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E526880"/>
    <w:multiLevelType w:val="multilevel"/>
    <w:tmpl w:val="688ADA5A"/>
    <w:lvl w:ilvl="0">
      <w:start w:val="1"/>
      <w:numFmt w:val="decimal"/>
      <w:lvlText w:val="%1."/>
      <w:lvlJc w:val="left"/>
      <w:pPr>
        <w:ind w:left="360" w:hanging="360"/>
      </w:pPr>
      <w:rPr>
        <w:rFonts w:hint="default"/>
        <w:b w:val="0"/>
        <w:color w:val="auto"/>
      </w:rPr>
    </w:lvl>
    <w:lvl w:ilvl="1">
      <w:start w:val="1"/>
      <w:numFmt w:val="bullet"/>
      <w:lvlText w:val=""/>
      <w:lvlJc w:val="left"/>
      <w:pPr>
        <w:ind w:left="644" w:hanging="360"/>
      </w:pPr>
      <w:rPr>
        <w:rFonts w:ascii="Symbol" w:hAnsi="Symbol"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6"/>
  </w:num>
  <w:num w:numId="2">
    <w:abstractNumId w:val="25"/>
  </w:num>
  <w:num w:numId="3">
    <w:abstractNumId w:val="39"/>
  </w:num>
  <w:num w:numId="4">
    <w:abstractNumId w:val="18"/>
  </w:num>
  <w:num w:numId="5">
    <w:abstractNumId w:val="30"/>
  </w:num>
  <w:num w:numId="6">
    <w:abstractNumId w:val="21"/>
  </w:num>
  <w:num w:numId="7">
    <w:abstractNumId w:val="1"/>
  </w:num>
  <w:num w:numId="8">
    <w:abstractNumId w:val="0"/>
  </w:num>
  <w:num w:numId="9">
    <w:abstractNumId w:val="17"/>
  </w:num>
  <w:num w:numId="10">
    <w:abstractNumId w:val="29"/>
  </w:num>
  <w:num w:numId="11">
    <w:abstractNumId w:val="32"/>
  </w:num>
  <w:num w:numId="12">
    <w:abstractNumId w:val="23"/>
  </w:num>
  <w:num w:numId="13">
    <w:abstractNumId w:val="10"/>
  </w:num>
  <w:num w:numId="14">
    <w:abstractNumId w:val="35"/>
  </w:num>
  <w:num w:numId="15">
    <w:abstractNumId w:val="27"/>
  </w:num>
  <w:num w:numId="16">
    <w:abstractNumId w:val="20"/>
  </w:num>
  <w:num w:numId="17">
    <w:abstractNumId w:val="28"/>
  </w:num>
  <w:num w:numId="18">
    <w:abstractNumId w:val="42"/>
  </w:num>
  <w:num w:numId="19">
    <w:abstractNumId w:val="34"/>
  </w:num>
  <w:num w:numId="20">
    <w:abstractNumId w:val="43"/>
  </w:num>
  <w:num w:numId="21">
    <w:abstractNumId w:val="15"/>
  </w:num>
  <w:num w:numId="22">
    <w:abstractNumId w:val="6"/>
  </w:num>
  <w:num w:numId="23">
    <w:abstractNumId w:val="47"/>
    <w:lvlOverride w:ilvl="0">
      <w:startOverride w:val="1"/>
    </w:lvlOverride>
  </w:num>
  <w:num w:numId="24">
    <w:abstractNumId w:val="36"/>
  </w:num>
  <w:num w:numId="25">
    <w:abstractNumId w:val="3"/>
  </w:num>
  <w:num w:numId="26">
    <w:abstractNumId w:val="45"/>
  </w:num>
  <w:num w:numId="27">
    <w:abstractNumId w:val="44"/>
  </w:num>
  <w:num w:numId="28">
    <w:abstractNumId w:val="2"/>
  </w:num>
  <w:num w:numId="29">
    <w:abstractNumId w:val="4"/>
  </w:num>
  <w:num w:numId="30">
    <w:abstractNumId w:val="5"/>
  </w:num>
  <w:num w:numId="31">
    <w:abstractNumId w:val="11"/>
  </w:num>
  <w:num w:numId="32">
    <w:abstractNumId w:val="8"/>
  </w:num>
  <w:num w:numId="33">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4"/>
  </w:num>
  <w:num w:numId="36">
    <w:abstractNumId w:val="12"/>
  </w:num>
  <w:num w:numId="37">
    <w:abstractNumId w:val="41"/>
  </w:num>
  <w:num w:numId="38">
    <w:abstractNumId w:val="22"/>
  </w:num>
  <w:num w:numId="39">
    <w:abstractNumId w:val="9"/>
  </w:num>
  <w:num w:numId="40">
    <w:abstractNumId w:val="7"/>
  </w:num>
  <w:num w:numId="41">
    <w:abstractNumId w:val="33"/>
  </w:num>
  <w:num w:numId="42">
    <w:abstractNumId w:val="38"/>
  </w:num>
  <w:num w:numId="43">
    <w:abstractNumId w:val="40"/>
  </w:num>
  <w:num w:numId="44">
    <w:abstractNumId w:val="13"/>
  </w:num>
  <w:num w:numId="45">
    <w:abstractNumId w:val="37"/>
  </w:num>
  <w:num w:numId="46">
    <w:abstractNumId w:val="16"/>
  </w:num>
  <w:num w:numId="47">
    <w:abstractNumId w:val="26"/>
  </w:num>
  <w:num w:numId="4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1B"/>
    <w:rsid w:val="00000B5C"/>
    <w:rsid w:val="00004E46"/>
    <w:rsid w:val="00005C4D"/>
    <w:rsid w:val="000061CF"/>
    <w:rsid w:val="00020E3D"/>
    <w:rsid w:val="000234AD"/>
    <w:rsid w:val="00024049"/>
    <w:rsid w:val="000302AA"/>
    <w:rsid w:val="00030E63"/>
    <w:rsid w:val="00032801"/>
    <w:rsid w:val="0003439C"/>
    <w:rsid w:val="00040776"/>
    <w:rsid w:val="00045632"/>
    <w:rsid w:val="00054D63"/>
    <w:rsid w:val="00056CA1"/>
    <w:rsid w:val="00057019"/>
    <w:rsid w:val="00057A48"/>
    <w:rsid w:val="000608EF"/>
    <w:rsid w:val="00066C58"/>
    <w:rsid w:val="00066D53"/>
    <w:rsid w:val="00067A07"/>
    <w:rsid w:val="00070A91"/>
    <w:rsid w:val="00075C7D"/>
    <w:rsid w:val="0007641E"/>
    <w:rsid w:val="0007656F"/>
    <w:rsid w:val="00081EF1"/>
    <w:rsid w:val="00082C9D"/>
    <w:rsid w:val="00082E41"/>
    <w:rsid w:val="00083203"/>
    <w:rsid w:val="00083288"/>
    <w:rsid w:val="000837FC"/>
    <w:rsid w:val="00090B6F"/>
    <w:rsid w:val="00092CB3"/>
    <w:rsid w:val="000A3D4E"/>
    <w:rsid w:val="000A4331"/>
    <w:rsid w:val="000A617B"/>
    <w:rsid w:val="000B08F5"/>
    <w:rsid w:val="000B1B24"/>
    <w:rsid w:val="000C30CC"/>
    <w:rsid w:val="000C3ABB"/>
    <w:rsid w:val="000C4B6C"/>
    <w:rsid w:val="000C5A68"/>
    <w:rsid w:val="000C675A"/>
    <w:rsid w:val="000D37FD"/>
    <w:rsid w:val="000D39DB"/>
    <w:rsid w:val="000D39DE"/>
    <w:rsid w:val="000E0BB4"/>
    <w:rsid w:val="000E1ECB"/>
    <w:rsid w:val="000E2041"/>
    <w:rsid w:val="000E21D2"/>
    <w:rsid w:val="000E2EFA"/>
    <w:rsid w:val="000E5222"/>
    <w:rsid w:val="000F08AD"/>
    <w:rsid w:val="000F0DF2"/>
    <w:rsid w:val="00103CB1"/>
    <w:rsid w:val="0010500D"/>
    <w:rsid w:val="00105D81"/>
    <w:rsid w:val="00111649"/>
    <w:rsid w:val="00111917"/>
    <w:rsid w:val="001148FE"/>
    <w:rsid w:val="001150F1"/>
    <w:rsid w:val="00123392"/>
    <w:rsid w:val="001345AA"/>
    <w:rsid w:val="00136FDC"/>
    <w:rsid w:val="001375A4"/>
    <w:rsid w:val="00147ACF"/>
    <w:rsid w:val="001502B1"/>
    <w:rsid w:val="00152AEB"/>
    <w:rsid w:val="001622CE"/>
    <w:rsid w:val="001633C9"/>
    <w:rsid w:val="00164B26"/>
    <w:rsid w:val="00165D67"/>
    <w:rsid w:val="00166649"/>
    <w:rsid w:val="00171708"/>
    <w:rsid w:val="00180448"/>
    <w:rsid w:val="001830D7"/>
    <w:rsid w:val="00183BC8"/>
    <w:rsid w:val="001841C5"/>
    <w:rsid w:val="001842E2"/>
    <w:rsid w:val="0018507F"/>
    <w:rsid w:val="001A2C2F"/>
    <w:rsid w:val="001A790F"/>
    <w:rsid w:val="001B05A2"/>
    <w:rsid w:val="001B0AB3"/>
    <w:rsid w:val="001C438D"/>
    <w:rsid w:val="001C4686"/>
    <w:rsid w:val="001C4943"/>
    <w:rsid w:val="001D3F8C"/>
    <w:rsid w:val="001D47B0"/>
    <w:rsid w:val="001D5AA2"/>
    <w:rsid w:val="001E2EEB"/>
    <w:rsid w:val="001F0D85"/>
    <w:rsid w:val="001F37D5"/>
    <w:rsid w:val="00200BE0"/>
    <w:rsid w:val="0020661F"/>
    <w:rsid w:val="0021064E"/>
    <w:rsid w:val="00210D2A"/>
    <w:rsid w:val="00211B2C"/>
    <w:rsid w:val="002125E8"/>
    <w:rsid w:val="002152EC"/>
    <w:rsid w:val="0021697E"/>
    <w:rsid w:val="0022296B"/>
    <w:rsid w:val="002262DE"/>
    <w:rsid w:val="00230AF7"/>
    <w:rsid w:val="00232C96"/>
    <w:rsid w:val="00232F2B"/>
    <w:rsid w:val="002407ED"/>
    <w:rsid w:val="00241547"/>
    <w:rsid w:val="00247F9F"/>
    <w:rsid w:val="002508EB"/>
    <w:rsid w:val="00252373"/>
    <w:rsid w:val="00263E66"/>
    <w:rsid w:val="002667CA"/>
    <w:rsid w:val="002700EB"/>
    <w:rsid w:val="00274459"/>
    <w:rsid w:val="00276074"/>
    <w:rsid w:val="002770D2"/>
    <w:rsid w:val="002770F0"/>
    <w:rsid w:val="00281377"/>
    <w:rsid w:val="00281DAD"/>
    <w:rsid w:val="00283530"/>
    <w:rsid w:val="002850C9"/>
    <w:rsid w:val="002865BF"/>
    <w:rsid w:val="00287532"/>
    <w:rsid w:val="00287FCB"/>
    <w:rsid w:val="00291082"/>
    <w:rsid w:val="00291BC2"/>
    <w:rsid w:val="00291BEC"/>
    <w:rsid w:val="00296F5D"/>
    <w:rsid w:val="002A2734"/>
    <w:rsid w:val="002A3243"/>
    <w:rsid w:val="002A7CA3"/>
    <w:rsid w:val="002B09CE"/>
    <w:rsid w:val="002B48B8"/>
    <w:rsid w:val="002C4B2B"/>
    <w:rsid w:val="002C5DB9"/>
    <w:rsid w:val="002E02A9"/>
    <w:rsid w:val="002E0429"/>
    <w:rsid w:val="002E07FD"/>
    <w:rsid w:val="002E0962"/>
    <w:rsid w:val="002E3FBB"/>
    <w:rsid w:val="002E6134"/>
    <w:rsid w:val="002E6843"/>
    <w:rsid w:val="002F0FF9"/>
    <w:rsid w:val="002F26E8"/>
    <w:rsid w:val="00303519"/>
    <w:rsid w:val="00303E6D"/>
    <w:rsid w:val="00306EF2"/>
    <w:rsid w:val="003072DA"/>
    <w:rsid w:val="00310562"/>
    <w:rsid w:val="00310AB1"/>
    <w:rsid w:val="00310DA0"/>
    <w:rsid w:val="003115F3"/>
    <w:rsid w:val="003120E8"/>
    <w:rsid w:val="00313A19"/>
    <w:rsid w:val="00314C95"/>
    <w:rsid w:val="003248F7"/>
    <w:rsid w:val="003263E9"/>
    <w:rsid w:val="00326EB5"/>
    <w:rsid w:val="00327900"/>
    <w:rsid w:val="00340B37"/>
    <w:rsid w:val="00343B70"/>
    <w:rsid w:val="00347B8F"/>
    <w:rsid w:val="0035441E"/>
    <w:rsid w:val="00362D53"/>
    <w:rsid w:val="003637A4"/>
    <w:rsid w:val="00364BA0"/>
    <w:rsid w:val="0036763F"/>
    <w:rsid w:val="00371EE1"/>
    <w:rsid w:val="003836BE"/>
    <w:rsid w:val="00384088"/>
    <w:rsid w:val="0038597A"/>
    <w:rsid w:val="00391840"/>
    <w:rsid w:val="00391DD7"/>
    <w:rsid w:val="003971AD"/>
    <w:rsid w:val="00397362"/>
    <w:rsid w:val="00397409"/>
    <w:rsid w:val="003A21F0"/>
    <w:rsid w:val="003B5D71"/>
    <w:rsid w:val="003B65BB"/>
    <w:rsid w:val="003B7561"/>
    <w:rsid w:val="003B7BB3"/>
    <w:rsid w:val="003C02FF"/>
    <w:rsid w:val="003C0BE2"/>
    <w:rsid w:val="003C6583"/>
    <w:rsid w:val="003D37CE"/>
    <w:rsid w:val="003D3EAE"/>
    <w:rsid w:val="003D3F5F"/>
    <w:rsid w:val="003D6683"/>
    <w:rsid w:val="003E353B"/>
    <w:rsid w:val="003E3BF3"/>
    <w:rsid w:val="003E78E1"/>
    <w:rsid w:val="003F00E5"/>
    <w:rsid w:val="003F1C9E"/>
    <w:rsid w:val="00405451"/>
    <w:rsid w:val="004055BF"/>
    <w:rsid w:val="00414A7E"/>
    <w:rsid w:val="00421500"/>
    <w:rsid w:val="00425F08"/>
    <w:rsid w:val="00426A00"/>
    <w:rsid w:val="00426C7A"/>
    <w:rsid w:val="00430295"/>
    <w:rsid w:val="004318DB"/>
    <w:rsid w:val="00432815"/>
    <w:rsid w:val="00432D02"/>
    <w:rsid w:val="004339BB"/>
    <w:rsid w:val="00433BFC"/>
    <w:rsid w:val="004345C1"/>
    <w:rsid w:val="00434E59"/>
    <w:rsid w:val="00435AEB"/>
    <w:rsid w:val="00435BE9"/>
    <w:rsid w:val="004377A4"/>
    <w:rsid w:val="00437F52"/>
    <w:rsid w:val="0044014D"/>
    <w:rsid w:val="00440840"/>
    <w:rsid w:val="004409FE"/>
    <w:rsid w:val="00441BF8"/>
    <w:rsid w:val="004468B5"/>
    <w:rsid w:val="004513C0"/>
    <w:rsid w:val="0045263A"/>
    <w:rsid w:val="00454F0E"/>
    <w:rsid w:val="00461950"/>
    <w:rsid w:val="00462892"/>
    <w:rsid w:val="00467FC3"/>
    <w:rsid w:val="0047058E"/>
    <w:rsid w:val="00473187"/>
    <w:rsid w:val="00473A5E"/>
    <w:rsid w:val="004758A0"/>
    <w:rsid w:val="004835C9"/>
    <w:rsid w:val="004845F8"/>
    <w:rsid w:val="00485CE3"/>
    <w:rsid w:val="00487FED"/>
    <w:rsid w:val="00490C1C"/>
    <w:rsid w:val="00491B47"/>
    <w:rsid w:val="004929A1"/>
    <w:rsid w:val="00492FDC"/>
    <w:rsid w:val="004A14F2"/>
    <w:rsid w:val="004B2467"/>
    <w:rsid w:val="004B5B1B"/>
    <w:rsid w:val="004B5C9E"/>
    <w:rsid w:val="004B6378"/>
    <w:rsid w:val="004B6582"/>
    <w:rsid w:val="004B72BD"/>
    <w:rsid w:val="004B7445"/>
    <w:rsid w:val="004C13C0"/>
    <w:rsid w:val="004C2537"/>
    <w:rsid w:val="004C3C6A"/>
    <w:rsid w:val="004C6C51"/>
    <w:rsid w:val="004D09E0"/>
    <w:rsid w:val="004D47D9"/>
    <w:rsid w:val="004D6349"/>
    <w:rsid w:val="004D6548"/>
    <w:rsid w:val="004E032E"/>
    <w:rsid w:val="004E128A"/>
    <w:rsid w:val="004E1CCD"/>
    <w:rsid w:val="004E23F6"/>
    <w:rsid w:val="004E2D19"/>
    <w:rsid w:val="004E53D6"/>
    <w:rsid w:val="004E5BC7"/>
    <w:rsid w:val="004E5F62"/>
    <w:rsid w:val="004E6023"/>
    <w:rsid w:val="004E6F7A"/>
    <w:rsid w:val="004F276C"/>
    <w:rsid w:val="004F609B"/>
    <w:rsid w:val="004F61CF"/>
    <w:rsid w:val="004F79BD"/>
    <w:rsid w:val="004F7FEB"/>
    <w:rsid w:val="005002FF"/>
    <w:rsid w:val="00500F18"/>
    <w:rsid w:val="00502612"/>
    <w:rsid w:val="00503733"/>
    <w:rsid w:val="00503B7F"/>
    <w:rsid w:val="00510638"/>
    <w:rsid w:val="0051075D"/>
    <w:rsid w:val="0051082A"/>
    <w:rsid w:val="005109B6"/>
    <w:rsid w:val="00510BA8"/>
    <w:rsid w:val="00520DCB"/>
    <w:rsid w:val="00521704"/>
    <w:rsid w:val="00522594"/>
    <w:rsid w:val="005237C8"/>
    <w:rsid w:val="00526BCA"/>
    <w:rsid w:val="00527FBD"/>
    <w:rsid w:val="005314A8"/>
    <w:rsid w:val="005319FD"/>
    <w:rsid w:val="00533EBA"/>
    <w:rsid w:val="00534A73"/>
    <w:rsid w:val="005437F1"/>
    <w:rsid w:val="00545927"/>
    <w:rsid w:val="005523E4"/>
    <w:rsid w:val="00553BC7"/>
    <w:rsid w:val="00562021"/>
    <w:rsid w:val="005623EF"/>
    <w:rsid w:val="0056309E"/>
    <w:rsid w:val="00564A5F"/>
    <w:rsid w:val="0057309B"/>
    <w:rsid w:val="0057463E"/>
    <w:rsid w:val="0057539E"/>
    <w:rsid w:val="00577C94"/>
    <w:rsid w:val="00580415"/>
    <w:rsid w:val="005824FA"/>
    <w:rsid w:val="00585131"/>
    <w:rsid w:val="00596F3C"/>
    <w:rsid w:val="005A008A"/>
    <w:rsid w:val="005A0E24"/>
    <w:rsid w:val="005A23EB"/>
    <w:rsid w:val="005A2BBD"/>
    <w:rsid w:val="005A48D4"/>
    <w:rsid w:val="005A5260"/>
    <w:rsid w:val="005A6065"/>
    <w:rsid w:val="005A6BBE"/>
    <w:rsid w:val="005A6D57"/>
    <w:rsid w:val="005B2D13"/>
    <w:rsid w:val="005B5190"/>
    <w:rsid w:val="005B54BB"/>
    <w:rsid w:val="005B56DB"/>
    <w:rsid w:val="005B724B"/>
    <w:rsid w:val="005B74F2"/>
    <w:rsid w:val="005C2CFA"/>
    <w:rsid w:val="005C62B2"/>
    <w:rsid w:val="005D41E1"/>
    <w:rsid w:val="005D5556"/>
    <w:rsid w:val="005E4CD3"/>
    <w:rsid w:val="005E5759"/>
    <w:rsid w:val="005F53E0"/>
    <w:rsid w:val="005F650A"/>
    <w:rsid w:val="0060782C"/>
    <w:rsid w:val="00607D56"/>
    <w:rsid w:val="00610900"/>
    <w:rsid w:val="006113FB"/>
    <w:rsid w:val="006164B8"/>
    <w:rsid w:val="0061732F"/>
    <w:rsid w:val="00617F5E"/>
    <w:rsid w:val="00622719"/>
    <w:rsid w:val="00623921"/>
    <w:rsid w:val="0062599F"/>
    <w:rsid w:val="00627E5D"/>
    <w:rsid w:val="006322A3"/>
    <w:rsid w:val="00633631"/>
    <w:rsid w:val="006352C9"/>
    <w:rsid w:val="0063544C"/>
    <w:rsid w:val="00635C9F"/>
    <w:rsid w:val="0064195A"/>
    <w:rsid w:val="00642198"/>
    <w:rsid w:val="0064266B"/>
    <w:rsid w:val="00642D6E"/>
    <w:rsid w:val="00644101"/>
    <w:rsid w:val="00645EE0"/>
    <w:rsid w:val="0064631B"/>
    <w:rsid w:val="00653057"/>
    <w:rsid w:val="006535FC"/>
    <w:rsid w:val="00654792"/>
    <w:rsid w:val="00655EE4"/>
    <w:rsid w:val="00656419"/>
    <w:rsid w:val="0066100F"/>
    <w:rsid w:val="00666282"/>
    <w:rsid w:val="006767BD"/>
    <w:rsid w:val="00686417"/>
    <w:rsid w:val="00686B47"/>
    <w:rsid w:val="00691436"/>
    <w:rsid w:val="00697E35"/>
    <w:rsid w:val="006A0A92"/>
    <w:rsid w:val="006A3868"/>
    <w:rsid w:val="006A46F0"/>
    <w:rsid w:val="006B134C"/>
    <w:rsid w:val="006B236E"/>
    <w:rsid w:val="006B3867"/>
    <w:rsid w:val="006B38C5"/>
    <w:rsid w:val="006B44FE"/>
    <w:rsid w:val="006B602A"/>
    <w:rsid w:val="006B74A7"/>
    <w:rsid w:val="006C23EE"/>
    <w:rsid w:val="006C3985"/>
    <w:rsid w:val="006C4126"/>
    <w:rsid w:val="006C4158"/>
    <w:rsid w:val="006C72FD"/>
    <w:rsid w:val="006D2BEE"/>
    <w:rsid w:val="006D4672"/>
    <w:rsid w:val="006D4739"/>
    <w:rsid w:val="006E0050"/>
    <w:rsid w:val="006E15EE"/>
    <w:rsid w:val="006E61EF"/>
    <w:rsid w:val="006E6E14"/>
    <w:rsid w:val="006F071C"/>
    <w:rsid w:val="006F08F8"/>
    <w:rsid w:val="006F0ADB"/>
    <w:rsid w:val="006F12AD"/>
    <w:rsid w:val="006F3975"/>
    <w:rsid w:val="006F4908"/>
    <w:rsid w:val="006F5BB7"/>
    <w:rsid w:val="006F6DA6"/>
    <w:rsid w:val="0070026A"/>
    <w:rsid w:val="007023AE"/>
    <w:rsid w:val="00704DB0"/>
    <w:rsid w:val="0070728D"/>
    <w:rsid w:val="00714A78"/>
    <w:rsid w:val="0071612E"/>
    <w:rsid w:val="007215B5"/>
    <w:rsid w:val="00722496"/>
    <w:rsid w:val="00722C87"/>
    <w:rsid w:val="00723C05"/>
    <w:rsid w:val="00723E2D"/>
    <w:rsid w:val="0072627E"/>
    <w:rsid w:val="00726555"/>
    <w:rsid w:val="00732B90"/>
    <w:rsid w:val="0073431D"/>
    <w:rsid w:val="00741B64"/>
    <w:rsid w:val="007474CF"/>
    <w:rsid w:val="00747E02"/>
    <w:rsid w:val="0075191E"/>
    <w:rsid w:val="0076079B"/>
    <w:rsid w:val="0076162D"/>
    <w:rsid w:val="00762014"/>
    <w:rsid w:val="00764C27"/>
    <w:rsid w:val="00766AA1"/>
    <w:rsid w:val="00771F27"/>
    <w:rsid w:val="00781FBF"/>
    <w:rsid w:val="00782512"/>
    <w:rsid w:val="00783258"/>
    <w:rsid w:val="0078490E"/>
    <w:rsid w:val="00785A2A"/>
    <w:rsid w:val="00786B78"/>
    <w:rsid w:val="007873B4"/>
    <w:rsid w:val="00793C8B"/>
    <w:rsid w:val="007A1526"/>
    <w:rsid w:val="007A30D2"/>
    <w:rsid w:val="007A6615"/>
    <w:rsid w:val="007A720A"/>
    <w:rsid w:val="007B1C8C"/>
    <w:rsid w:val="007B204F"/>
    <w:rsid w:val="007B3168"/>
    <w:rsid w:val="007B39BF"/>
    <w:rsid w:val="007B44D2"/>
    <w:rsid w:val="007C1AE9"/>
    <w:rsid w:val="007C2FD2"/>
    <w:rsid w:val="007C3638"/>
    <w:rsid w:val="007C52C3"/>
    <w:rsid w:val="007C62ED"/>
    <w:rsid w:val="007C6D24"/>
    <w:rsid w:val="007C78EB"/>
    <w:rsid w:val="007C7D1B"/>
    <w:rsid w:val="007D06A6"/>
    <w:rsid w:val="007D31FE"/>
    <w:rsid w:val="007D51DE"/>
    <w:rsid w:val="007D5DBC"/>
    <w:rsid w:val="007D6A76"/>
    <w:rsid w:val="007D6ED9"/>
    <w:rsid w:val="007E169A"/>
    <w:rsid w:val="007E5570"/>
    <w:rsid w:val="007E660F"/>
    <w:rsid w:val="007F27B5"/>
    <w:rsid w:val="007F4DED"/>
    <w:rsid w:val="007F66AB"/>
    <w:rsid w:val="008016E1"/>
    <w:rsid w:val="00802E40"/>
    <w:rsid w:val="00805016"/>
    <w:rsid w:val="00811088"/>
    <w:rsid w:val="00813203"/>
    <w:rsid w:val="008137D1"/>
    <w:rsid w:val="00815597"/>
    <w:rsid w:val="00815F3E"/>
    <w:rsid w:val="008176F6"/>
    <w:rsid w:val="0082107C"/>
    <w:rsid w:val="00823450"/>
    <w:rsid w:val="00824A3D"/>
    <w:rsid w:val="00825394"/>
    <w:rsid w:val="00833EE0"/>
    <w:rsid w:val="00841488"/>
    <w:rsid w:val="00845E11"/>
    <w:rsid w:val="00847388"/>
    <w:rsid w:val="008477AB"/>
    <w:rsid w:val="00854301"/>
    <w:rsid w:val="0085596C"/>
    <w:rsid w:val="00855CD4"/>
    <w:rsid w:val="008564B2"/>
    <w:rsid w:val="008575A6"/>
    <w:rsid w:val="00861EC0"/>
    <w:rsid w:val="00866E51"/>
    <w:rsid w:val="00870782"/>
    <w:rsid w:val="00871653"/>
    <w:rsid w:val="0087181F"/>
    <w:rsid w:val="008734B1"/>
    <w:rsid w:val="0087454C"/>
    <w:rsid w:val="0087500B"/>
    <w:rsid w:val="00875A9A"/>
    <w:rsid w:val="0087613B"/>
    <w:rsid w:val="0088092A"/>
    <w:rsid w:val="008828C4"/>
    <w:rsid w:val="0088335C"/>
    <w:rsid w:val="008904FF"/>
    <w:rsid w:val="00893906"/>
    <w:rsid w:val="008969FE"/>
    <w:rsid w:val="008A1FE4"/>
    <w:rsid w:val="008A31EF"/>
    <w:rsid w:val="008A43E5"/>
    <w:rsid w:val="008A71B1"/>
    <w:rsid w:val="008A75DC"/>
    <w:rsid w:val="008C30D5"/>
    <w:rsid w:val="008C73F5"/>
    <w:rsid w:val="008D5041"/>
    <w:rsid w:val="008D5A7A"/>
    <w:rsid w:val="008D5DF5"/>
    <w:rsid w:val="008D7BFE"/>
    <w:rsid w:val="008E3EF4"/>
    <w:rsid w:val="008E4BF9"/>
    <w:rsid w:val="008F2D9F"/>
    <w:rsid w:val="008F3EDA"/>
    <w:rsid w:val="008F73DF"/>
    <w:rsid w:val="00901C34"/>
    <w:rsid w:val="00904C05"/>
    <w:rsid w:val="00907E07"/>
    <w:rsid w:val="00910B0C"/>
    <w:rsid w:val="00911734"/>
    <w:rsid w:val="0091296B"/>
    <w:rsid w:val="00915460"/>
    <w:rsid w:val="00915D5D"/>
    <w:rsid w:val="00916069"/>
    <w:rsid w:val="0091631A"/>
    <w:rsid w:val="00935072"/>
    <w:rsid w:val="00935906"/>
    <w:rsid w:val="00943D7B"/>
    <w:rsid w:val="0095138B"/>
    <w:rsid w:val="0095251C"/>
    <w:rsid w:val="00953BD9"/>
    <w:rsid w:val="00954B3E"/>
    <w:rsid w:val="00954BC0"/>
    <w:rsid w:val="00957915"/>
    <w:rsid w:val="00960539"/>
    <w:rsid w:val="00965320"/>
    <w:rsid w:val="00965979"/>
    <w:rsid w:val="00971233"/>
    <w:rsid w:val="00975C07"/>
    <w:rsid w:val="00976234"/>
    <w:rsid w:val="00990BD5"/>
    <w:rsid w:val="00994FD8"/>
    <w:rsid w:val="009B2CE3"/>
    <w:rsid w:val="009B5124"/>
    <w:rsid w:val="009B6862"/>
    <w:rsid w:val="009D03D2"/>
    <w:rsid w:val="009D188C"/>
    <w:rsid w:val="009D2994"/>
    <w:rsid w:val="009D6BA0"/>
    <w:rsid w:val="009E005D"/>
    <w:rsid w:val="009E27EA"/>
    <w:rsid w:val="009E4A67"/>
    <w:rsid w:val="009E7948"/>
    <w:rsid w:val="009F0960"/>
    <w:rsid w:val="009F45A6"/>
    <w:rsid w:val="009F4985"/>
    <w:rsid w:val="00A10B70"/>
    <w:rsid w:val="00A12D4D"/>
    <w:rsid w:val="00A1343C"/>
    <w:rsid w:val="00A14802"/>
    <w:rsid w:val="00A1557F"/>
    <w:rsid w:val="00A155A6"/>
    <w:rsid w:val="00A15A06"/>
    <w:rsid w:val="00A3073D"/>
    <w:rsid w:val="00A30BBD"/>
    <w:rsid w:val="00A34648"/>
    <w:rsid w:val="00A35BC4"/>
    <w:rsid w:val="00A36293"/>
    <w:rsid w:val="00A37217"/>
    <w:rsid w:val="00A37500"/>
    <w:rsid w:val="00A44769"/>
    <w:rsid w:val="00A45474"/>
    <w:rsid w:val="00A53E9F"/>
    <w:rsid w:val="00A61934"/>
    <w:rsid w:val="00A633F3"/>
    <w:rsid w:val="00A65A62"/>
    <w:rsid w:val="00A67232"/>
    <w:rsid w:val="00A67C8D"/>
    <w:rsid w:val="00A75307"/>
    <w:rsid w:val="00A83D6E"/>
    <w:rsid w:val="00A84CB1"/>
    <w:rsid w:val="00A854F9"/>
    <w:rsid w:val="00A91802"/>
    <w:rsid w:val="00A92615"/>
    <w:rsid w:val="00A939B7"/>
    <w:rsid w:val="00A944B5"/>
    <w:rsid w:val="00A95863"/>
    <w:rsid w:val="00A95F10"/>
    <w:rsid w:val="00A96C7F"/>
    <w:rsid w:val="00A972C0"/>
    <w:rsid w:val="00A9790C"/>
    <w:rsid w:val="00AA0460"/>
    <w:rsid w:val="00AA0F77"/>
    <w:rsid w:val="00AA1167"/>
    <w:rsid w:val="00AA13DB"/>
    <w:rsid w:val="00AA2771"/>
    <w:rsid w:val="00AA28D0"/>
    <w:rsid w:val="00AA2CBF"/>
    <w:rsid w:val="00AA2D94"/>
    <w:rsid w:val="00AA3164"/>
    <w:rsid w:val="00AB0AB7"/>
    <w:rsid w:val="00AB6A7D"/>
    <w:rsid w:val="00AC06B6"/>
    <w:rsid w:val="00AC0C9D"/>
    <w:rsid w:val="00AC1BAF"/>
    <w:rsid w:val="00AE208E"/>
    <w:rsid w:val="00AE5CAA"/>
    <w:rsid w:val="00AE77CE"/>
    <w:rsid w:val="00AE7F2B"/>
    <w:rsid w:val="00AF38CC"/>
    <w:rsid w:val="00AF5CE7"/>
    <w:rsid w:val="00AF5D07"/>
    <w:rsid w:val="00AF799B"/>
    <w:rsid w:val="00B02007"/>
    <w:rsid w:val="00B04000"/>
    <w:rsid w:val="00B061E0"/>
    <w:rsid w:val="00B12105"/>
    <w:rsid w:val="00B1346D"/>
    <w:rsid w:val="00B135CB"/>
    <w:rsid w:val="00B15200"/>
    <w:rsid w:val="00B208D7"/>
    <w:rsid w:val="00B245F9"/>
    <w:rsid w:val="00B25F6A"/>
    <w:rsid w:val="00B27FFA"/>
    <w:rsid w:val="00B30BAE"/>
    <w:rsid w:val="00B31662"/>
    <w:rsid w:val="00B31709"/>
    <w:rsid w:val="00B34BF8"/>
    <w:rsid w:val="00B375FC"/>
    <w:rsid w:val="00B43224"/>
    <w:rsid w:val="00B44995"/>
    <w:rsid w:val="00B45459"/>
    <w:rsid w:val="00B479AE"/>
    <w:rsid w:val="00B52EBF"/>
    <w:rsid w:val="00B5487B"/>
    <w:rsid w:val="00B54E93"/>
    <w:rsid w:val="00B56684"/>
    <w:rsid w:val="00B56F2E"/>
    <w:rsid w:val="00B61949"/>
    <w:rsid w:val="00B732A0"/>
    <w:rsid w:val="00B75972"/>
    <w:rsid w:val="00B7678F"/>
    <w:rsid w:val="00B77E57"/>
    <w:rsid w:val="00B80129"/>
    <w:rsid w:val="00B812B3"/>
    <w:rsid w:val="00B8573B"/>
    <w:rsid w:val="00B8716A"/>
    <w:rsid w:val="00B91907"/>
    <w:rsid w:val="00B9306D"/>
    <w:rsid w:val="00B93D72"/>
    <w:rsid w:val="00B956CC"/>
    <w:rsid w:val="00BA485B"/>
    <w:rsid w:val="00BA65C6"/>
    <w:rsid w:val="00BA6FA4"/>
    <w:rsid w:val="00BB0B16"/>
    <w:rsid w:val="00BB2B17"/>
    <w:rsid w:val="00BC1E4F"/>
    <w:rsid w:val="00BC3CBD"/>
    <w:rsid w:val="00BC4EDF"/>
    <w:rsid w:val="00BC4F5E"/>
    <w:rsid w:val="00BC557B"/>
    <w:rsid w:val="00BC6CEC"/>
    <w:rsid w:val="00BC7DF5"/>
    <w:rsid w:val="00BD34C8"/>
    <w:rsid w:val="00BE1368"/>
    <w:rsid w:val="00BE6AB2"/>
    <w:rsid w:val="00BF06A3"/>
    <w:rsid w:val="00BF0881"/>
    <w:rsid w:val="00BF2842"/>
    <w:rsid w:val="00BF3BE2"/>
    <w:rsid w:val="00BF41BE"/>
    <w:rsid w:val="00C02493"/>
    <w:rsid w:val="00C042A0"/>
    <w:rsid w:val="00C05121"/>
    <w:rsid w:val="00C05FED"/>
    <w:rsid w:val="00C10DA1"/>
    <w:rsid w:val="00C12D5E"/>
    <w:rsid w:val="00C13BB0"/>
    <w:rsid w:val="00C157D7"/>
    <w:rsid w:val="00C15D3A"/>
    <w:rsid w:val="00C165E6"/>
    <w:rsid w:val="00C16B41"/>
    <w:rsid w:val="00C17398"/>
    <w:rsid w:val="00C20D7A"/>
    <w:rsid w:val="00C2204B"/>
    <w:rsid w:val="00C240D3"/>
    <w:rsid w:val="00C272A8"/>
    <w:rsid w:val="00C32414"/>
    <w:rsid w:val="00C4119D"/>
    <w:rsid w:val="00C41325"/>
    <w:rsid w:val="00C45623"/>
    <w:rsid w:val="00C458B3"/>
    <w:rsid w:val="00C46DD3"/>
    <w:rsid w:val="00C47088"/>
    <w:rsid w:val="00C506B7"/>
    <w:rsid w:val="00C50888"/>
    <w:rsid w:val="00C51E9D"/>
    <w:rsid w:val="00C52B5B"/>
    <w:rsid w:val="00C54A4C"/>
    <w:rsid w:val="00C5525F"/>
    <w:rsid w:val="00C56C7B"/>
    <w:rsid w:val="00C64442"/>
    <w:rsid w:val="00C65074"/>
    <w:rsid w:val="00C669FE"/>
    <w:rsid w:val="00C703AE"/>
    <w:rsid w:val="00C77E0E"/>
    <w:rsid w:val="00C80B74"/>
    <w:rsid w:val="00C817E3"/>
    <w:rsid w:val="00C8355F"/>
    <w:rsid w:val="00C85EA4"/>
    <w:rsid w:val="00C877B2"/>
    <w:rsid w:val="00C87823"/>
    <w:rsid w:val="00C90CE2"/>
    <w:rsid w:val="00C925FA"/>
    <w:rsid w:val="00CA16E3"/>
    <w:rsid w:val="00CA2247"/>
    <w:rsid w:val="00CA431A"/>
    <w:rsid w:val="00CA4923"/>
    <w:rsid w:val="00CA4E87"/>
    <w:rsid w:val="00CA694B"/>
    <w:rsid w:val="00CA77C5"/>
    <w:rsid w:val="00CA7A93"/>
    <w:rsid w:val="00CB1A3F"/>
    <w:rsid w:val="00CB34A0"/>
    <w:rsid w:val="00CB3E7D"/>
    <w:rsid w:val="00CB5AC0"/>
    <w:rsid w:val="00CB7CBF"/>
    <w:rsid w:val="00CC04EB"/>
    <w:rsid w:val="00CC08E3"/>
    <w:rsid w:val="00CC0DA1"/>
    <w:rsid w:val="00CC355B"/>
    <w:rsid w:val="00CC49D9"/>
    <w:rsid w:val="00CD5BBF"/>
    <w:rsid w:val="00CD6F81"/>
    <w:rsid w:val="00CE0F96"/>
    <w:rsid w:val="00CF2D77"/>
    <w:rsid w:val="00CF4AE4"/>
    <w:rsid w:val="00CF755F"/>
    <w:rsid w:val="00D0021E"/>
    <w:rsid w:val="00D00392"/>
    <w:rsid w:val="00D007E0"/>
    <w:rsid w:val="00D01DE4"/>
    <w:rsid w:val="00D025A5"/>
    <w:rsid w:val="00D05E87"/>
    <w:rsid w:val="00D105B2"/>
    <w:rsid w:val="00D1130F"/>
    <w:rsid w:val="00D143C8"/>
    <w:rsid w:val="00D16DDF"/>
    <w:rsid w:val="00D17D43"/>
    <w:rsid w:val="00D261D1"/>
    <w:rsid w:val="00D34AA1"/>
    <w:rsid w:val="00D374F2"/>
    <w:rsid w:val="00D4207C"/>
    <w:rsid w:val="00D46F64"/>
    <w:rsid w:val="00D47A25"/>
    <w:rsid w:val="00D50D89"/>
    <w:rsid w:val="00D531E6"/>
    <w:rsid w:val="00D53EF8"/>
    <w:rsid w:val="00D60675"/>
    <w:rsid w:val="00D72FED"/>
    <w:rsid w:val="00D75754"/>
    <w:rsid w:val="00D75811"/>
    <w:rsid w:val="00D76D96"/>
    <w:rsid w:val="00D802C9"/>
    <w:rsid w:val="00D81E8A"/>
    <w:rsid w:val="00D86F88"/>
    <w:rsid w:val="00D903B1"/>
    <w:rsid w:val="00D92772"/>
    <w:rsid w:val="00D9325E"/>
    <w:rsid w:val="00D94182"/>
    <w:rsid w:val="00DA2364"/>
    <w:rsid w:val="00DA4DE9"/>
    <w:rsid w:val="00DA5943"/>
    <w:rsid w:val="00DB069F"/>
    <w:rsid w:val="00DB1E7E"/>
    <w:rsid w:val="00DB22E7"/>
    <w:rsid w:val="00DB5244"/>
    <w:rsid w:val="00DD2DEF"/>
    <w:rsid w:val="00DD3EFA"/>
    <w:rsid w:val="00DE1598"/>
    <w:rsid w:val="00DE3179"/>
    <w:rsid w:val="00DE34BE"/>
    <w:rsid w:val="00DF193B"/>
    <w:rsid w:val="00DF3588"/>
    <w:rsid w:val="00DF5B5C"/>
    <w:rsid w:val="00DF6680"/>
    <w:rsid w:val="00DF75B6"/>
    <w:rsid w:val="00E00076"/>
    <w:rsid w:val="00E004C3"/>
    <w:rsid w:val="00E04A4D"/>
    <w:rsid w:val="00E107C9"/>
    <w:rsid w:val="00E1084F"/>
    <w:rsid w:val="00E10A8D"/>
    <w:rsid w:val="00E13311"/>
    <w:rsid w:val="00E14DE2"/>
    <w:rsid w:val="00E1562E"/>
    <w:rsid w:val="00E15F3E"/>
    <w:rsid w:val="00E21510"/>
    <w:rsid w:val="00E219BE"/>
    <w:rsid w:val="00E220DA"/>
    <w:rsid w:val="00E229BD"/>
    <w:rsid w:val="00E2352E"/>
    <w:rsid w:val="00E3193B"/>
    <w:rsid w:val="00E32F10"/>
    <w:rsid w:val="00E33079"/>
    <w:rsid w:val="00E339AC"/>
    <w:rsid w:val="00E364C9"/>
    <w:rsid w:val="00E41A8E"/>
    <w:rsid w:val="00E50554"/>
    <w:rsid w:val="00E50930"/>
    <w:rsid w:val="00E52255"/>
    <w:rsid w:val="00E52BF4"/>
    <w:rsid w:val="00E52FA7"/>
    <w:rsid w:val="00E55BE1"/>
    <w:rsid w:val="00E60C0A"/>
    <w:rsid w:val="00E62E06"/>
    <w:rsid w:val="00E661DF"/>
    <w:rsid w:val="00E67BE1"/>
    <w:rsid w:val="00E700E0"/>
    <w:rsid w:val="00E71196"/>
    <w:rsid w:val="00E72C06"/>
    <w:rsid w:val="00E7476E"/>
    <w:rsid w:val="00E75C84"/>
    <w:rsid w:val="00E804CA"/>
    <w:rsid w:val="00E835AE"/>
    <w:rsid w:val="00E93D1D"/>
    <w:rsid w:val="00E95CA4"/>
    <w:rsid w:val="00E96060"/>
    <w:rsid w:val="00EA0232"/>
    <w:rsid w:val="00EA12EF"/>
    <w:rsid w:val="00EA2F78"/>
    <w:rsid w:val="00EA54BB"/>
    <w:rsid w:val="00EA6A90"/>
    <w:rsid w:val="00EA718F"/>
    <w:rsid w:val="00EB63F6"/>
    <w:rsid w:val="00EB7728"/>
    <w:rsid w:val="00EC594B"/>
    <w:rsid w:val="00EC65DF"/>
    <w:rsid w:val="00EC7BC5"/>
    <w:rsid w:val="00ED1E69"/>
    <w:rsid w:val="00ED2473"/>
    <w:rsid w:val="00ED2DC5"/>
    <w:rsid w:val="00ED5C6C"/>
    <w:rsid w:val="00ED793A"/>
    <w:rsid w:val="00EE2F22"/>
    <w:rsid w:val="00EE5416"/>
    <w:rsid w:val="00EF13B9"/>
    <w:rsid w:val="00EF16A4"/>
    <w:rsid w:val="00EF25A4"/>
    <w:rsid w:val="00F01F70"/>
    <w:rsid w:val="00F02347"/>
    <w:rsid w:val="00F06E9A"/>
    <w:rsid w:val="00F072A8"/>
    <w:rsid w:val="00F10729"/>
    <w:rsid w:val="00F11858"/>
    <w:rsid w:val="00F11C7B"/>
    <w:rsid w:val="00F12F5E"/>
    <w:rsid w:val="00F137A3"/>
    <w:rsid w:val="00F13A0D"/>
    <w:rsid w:val="00F16489"/>
    <w:rsid w:val="00F202A3"/>
    <w:rsid w:val="00F209C6"/>
    <w:rsid w:val="00F2449C"/>
    <w:rsid w:val="00F2558E"/>
    <w:rsid w:val="00F2650C"/>
    <w:rsid w:val="00F26562"/>
    <w:rsid w:val="00F26FD9"/>
    <w:rsid w:val="00F300B5"/>
    <w:rsid w:val="00F31234"/>
    <w:rsid w:val="00F31E5D"/>
    <w:rsid w:val="00F32FC1"/>
    <w:rsid w:val="00F33AE3"/>
    <w:rsid w:val="00F4156A"/>
    <w:rsid w:val="00F428FD"/>
    <w:rsid w:val="00F42A69"/>
    <w:rsid w:val="00F45538"/>
    <w:rsid w:val="00F457C1"/>
    <w:rsid w:val="00F45DEF"/>
    <w:rsid w:val="00F47297"/>
    <w:rsid w:val="00F4774C"/>
    <w:rsid w:val="00F52D82"/>
    <w:rsid w:val="00F53AB7"/>
    <w:rsid w:val="00F56B3D"/>
    <w:rsid w:val="00F612DC"/>
    <w:rsid w:val="00F641B1"/>
    <w:rsid w:val="00F6600E"/>
    <w:rsid w:val="00F74E58"/>
    <w:rsid w:val="00F77CA9"/>
    <w:rsid w:val="00F80E40"/>
    <w:rsid w:val="00F80F00"/>
    <w:rsid w:val="00F821FC"/>
    <w:rsid w:val="00F82EE1"/>
    <w:rsid w:val="00F8498D"/>
    <w:rsid w:val="00F868F8"/>
    <w:rsid w:val="00F87FA8"/>
    <w:rsid w:val="00F93295"/>
    <w:rsid w:val="00F9381B"/>
    <w:rsid w:val="00F952C3"/>
    <w:rsid w:val="00F95FDD"/>
    <w:rsid w:val="00FA0E1E"/>
    <w:rsid w:val="00FA37CA"/>
    <w:rsid w:val="00FA5EB9"/>
    <w:rsid w:val="00FA60AE"/>
    <w:rsid w:val="00FB00CE"/>
    <w:rsid w:val="00FB287E"/>
    <w:rsid w:val="00FB5F80"/>
    <w:rsid w:val="00FB6D9E"/>
    <w:rsid w:val="00FB796D"/>
    <w:rsid w:val="00FC0297"/>
    <w:rsid w:val="00FC42E8"/>
    <w:rsid w:val="00FC47A5"/>
    <w:rsid w:val="00FC510B"/>
    <w:rsid w:val="00FC5519"/>
    <w:rsid w:val="00FC568D"/>
    <w:rsid w:val="00FC5CB0"/>
    <w:rsid w:val="00FC5F9C"/>
    <w:rsid w:val="00FC77AB"/>
    <w:rsid w:val="00FD016C"/>
    <w:rsid w:val="00FD04E6"/>
    <w:rsid w:val="00FD0529"/>
    <w:rsid w:val="00FD0D34"/>
    <w:rsid w:val="00FD0E1F"/>
    <w:rsid w:val="00FD1902"/>
    <w:rsid w:val="00FE5B0D"/>
    <w:rsid w:val="00FF03B4"/>
    <w:rsid w:val="00FF2210"/>
    <w:rsid w:val="00FF77AB"/>
    <w:rsid w:val="00FF7DD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EF"/>
    <w:pPr>
      <w:spacing w:after="0" w:line="240" w:lineRule="auto"/>
    </w:pPr>
    <w:rPr>
      <w:rFonts w:ascii="Georgia" w:hAnsi="Georgia" w:cs="Times New Roman"/>
      <w:szCs w:val="24"/>
      <w:lang w:eastAsia="zh-CN"/>
    </w:rPr>
  </w:style>
  <w:style w:type="paragraph" w:styleId="Heading1">
    <w:name w:val="heading 1"/>
    <w:basedOn w:val="Normal"/>
    <w:next w:val="Normal"/>
    <w:link w:val="Heading1Char"/>
    <w:uiPriority w:val="9"/>
    <w:qFormat/>
    <w:rsid w:val="00866E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79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1B"/>
    <w:rPr>
      <w:color w:val="0000FF"/>
      <w:u w:val="single"/>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4B5B1B"/>
    <w:rPr>
      <w:szCs w:val="22"/>
      <w:lang w:eastAsia="en-GB"/>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4B5B1B"/>
    <w:rPr>
      <w:rFonts w:ascii="Georgia" w:hAnsi="Georgia" w:cs="Times New Roman"/>
      <w:lang w:eastAsia="en-GB"/>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4B5B1B"/>
    <w:pPr>
      <w:ind w:left="708"/>
    </w:pPr>
    <w:rPr>
      <w:szCs w:val="22"/>
      <w:lang w:eastAsia="en-GB"/>
    </w:rPr>
  </w:style>
  <w:style w:type="character" w:styleId="FootnoteReference">
    <w:name w:val="footnote reference"/>
    <w:aliases w:val="ftref"/>
    <w:basedOn w:val="DefaultParagraphFont"/>
    <w:unhideWhenUsed/>
    <w:rsid w:val="004B5B1B"/>
    <w:rPr>
      <w:vertAlign w:val="superscript"/>
    </w:rPr>
  </w:style>
  <w:style w:type="paragraph" w:styleId="BalloonText">
    <w:name w:val="Balloon Text"/>
    <w:basedOn w:val="Normal"/>
    <w:link w:val="BalloonTextChar"/>
    <w:uiPriority w:val="99"/>
    <w:semiHidden/>
    <w:unhideWhenUsed/>
    <w:rsid w:val="00DB069F"/>
    <w:rPr>
      <w:rFonts w:ascii="Tahoma" w:hAnsi="Tahoma" w:cs="Tahoma"/>
      <w:sz w:val="16"/>
      <w:szCs w:val="16"/>
    </w:rPr>
  </w:style>
  <w:style w:type="character" w:customStyle="1" w:styleId="BalloonTextChar">
    <w:name w:val="Balloon Text Char"/>
    <w:basedOn w:val="DefaultParagraphFont"/>
    <w:link w:val="BalloonText"/>
    <w:uiPriority w:val="99"/>
    <w:semiHidden/>
    <w:rsid w:val="00DB069F"/>
    <w:rPr>
      <w:rFonts w:ascii="Tahoma" w:hAnsi="Tahoma" w:cs="Tahoma"/>
      <w:sz w:val="16"/>
      <w:szCs w:val="16"/>
      <w:lang w:eastAsia="zh-CN"/>
    </w:rPr>
  </w:style>
  <w:style w:type="character" w:customStyle="1" w:styleId="hps">
    <w:name w:val="hps"/>
    <w:basedOn w:val="DefaultParagraphFont"/>
    <w:rsid w:val="00B245F9"/>
  </w:style>
  <w:style w:type="paragraph" w:styleId="BodyTextIndent">
    <w:name w:val="Body Text Indent"/>
    <w:basedOn w:val="Normal"/>
    <w:link w:val="BodyTextIndentChar"/>
    <w:semiHidden/>
    <w:rsid w:val="008176F6"/>
    <w:pPr>
      <w:ind w:left="720"/>
    </w:pPr>
    <w:rPr>
      <w:rFonts w:ascii="Times New Roman" w:hAnsi="Times New Roman"/>
      <w:sz w:val="24"/>
      <w:szCs w:val="20"/>
      <w:lang w:val="es-ES_tradnl" w:eastAsia="en-US"/>
    </w:rPr>
  </w:style>
  <w:style w:type="character" w:customStyle="1" w:styleId="BodyTextIndentChar">
    <w:name w:val="Body Text Indent Char"/>
    <w:basedOn w:val="DefaultParagraphFont"/>
    <w:link w:val="BodyTextIndent"/>
    <w:semiHidden/>
    <w:rsid w:val="008176F6"/>
    <w:rPr>
      <w:rFonts w:ascii="Times New Roman" w:hAnsi="Times New Roman" w:cs="Times New Roman"/>
      <w:sz w:val="24"/>
      <w:szCs w:val="20"/>
      <w:lang w:val="es-ES_tradnl"/>
    </w:rPr>
  </w:style>
  <w:style w:type="character" w:styleId="CommentReference">
    <w:name w:val="annotation reference"/>
    <w:basedOn w:val="DefaultParagraphFont"/>
    <w:uiPriority w:val="99"/>
    <w:semiHidden/>
    <w:unhideWhenUsed/>
    <w:rsid w:val="00152AEB"/>
    <w:rPr>
      <w:sz w:val="16"/>
      <w:szCs w:val="16"/>
    </w:rPr>
  </w:style>
  <w:style w:type="paragraph" w:styleId="CommentText">
    <w:name w:val="annotation text"/>
    <w:basedOn w:val="Normal"/>
    <w:link w:val="CommentTextChar"/>
    <w:uiPriority w:val="99"/>
    <w:semiHidden/>
    <w:unhideWhenUsed/>
    <w:rsid w:val="00152AEB"/>
    <w:rPr>
      <w:sz w:val="20"/>
      <w:szCs w:val="20"/>
    </w:rPr>
  </w:style>
  <w:style w:type="character" w:customStyle="1" w:styleId="CommentTextChar">
    <w:name w:val="Comment Text Char"/>
    <w:basedOn w:val="DefaultParagraphFont"/>
    <w:link w:val="CommentText"/>
    <w:uiPriority w:val="99"/>
    <w:semiHidden/>
    <w:rsid w:val="00152AEB"/>
    <w:rPr>
      <w:rFonts w:ascii="Georgia" w:hAnsi="Georgi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52AEB"/>
    <w:rPr>
      <w:b/>
      <w:bCs/>
    </w:rPr>
  </w:style>
  <w:style w:type="character" w:customStyle="1" w:styleId="CommentSubjectChar">
    <w:name w:val="Comment Subject Char"/>
    <w:basedOn w:val="CommentTextChar"/>
    <w:link w:val="CommentSubject"/>
    <w:uiPriority w:val="99"/>
    <w:semiHidden/>
    <w:rsid w:val="00152AEB"/>
    <w:rPr>
      <w:rFonts w:ascii="Georgia" w:hAnsi="Georgia" w:cs="Times New Roman"/>
      <w:b/>
      <w:bCs/>
      <w:sz w:val="20"/>
      <w:szCs w:val="20"/>
      <w:lang w:eastAsia="zh-CN"/>
    </w:rPr>
  </w:style>
  <w:style w:type="paragraph" w:styleId="BodyTextIndent2">
    <w:name w:val="Body Text Indent 2"/>
    <w:basedOn w:val="Normal"/>
    <w:link w:val="BodyTextIndent2Char"/>
    <w:uiPriority w:val="99"/>
    <w:semiHidden/>
    <w:unhideWhenUsed/>
    <w:rsid w:val="002F0FF9"/>
    <w:pPr>
      <w:spacing w:after="120" w:line="480" w:lineRule="auto"/>
      <w:ind w:left="283"/>
    </w:pPr>
  </w:style>
  <w:style w:type="character" w:customStyle="1" w:styleId="BodyTextIndent2Char">
    <w:name w:val="Body Text Indent 2 Char"/>
    <w:basedOn w:val="DefaultParagraphFont"/>
    <w:link w:val="BodyTextIndent2"/>
    <w:uiPriority w:val="99"/>
    <w:semiHidden/>
    <w:rsid w:val="002F0FF9"/>
    <w:rPr>
      <w:rFonts w:ascii="Georgia" w:hAnsi="Georgia" w:cs="Times New Roman"/>
      <w:szCs w:val="24"/>
      <w:lang w:eastAsia="zh-CN"/>
    </w:rPr>
  </w:style>
  <w:style w:type="paragraph" w:styleId="Header">
    <w:name w:val="header"/>
    <w:basedOn w:val="Normal"/>
    <w:link w:val="HeaderChar"/>
    <w:uiPriority w:val="99"/>
    <w:unhideWhenUsed/>
    <w:rsid w:val="00577C94"/>
    <w:pPr>
      <w:tabs>
        <w:tab w:val="center" w:pos="4419"/>
        <w:tab w:val="right" w:pos="8838"/>
      </w:tabs>
    </w:pPr>
  </w:style>
  <w:style w:type="character" w:customStyle="1" w:styleId="HeaderChar">
    <w:name w:val="Header Char"/>
    <w:basedOn w:val="DefaultParagraphFont"/>
    <w:link w:val="Header"/>
    <w:uiPriority w:val="99"/>
    <w:rsid w:val="00577C94"/>
    <w:rPr>
      <w:rFonts w:ascii="Georgia" w:hAnsi="Georgia" w:cs="Times New Roman"/>
      <w:szCs w:val="24"/>
      <w:lang w:eastAsia="zh-CN"/>
    </w:rPr>
  </w:style>
  <w:style w:type="paragraph" w:styleId="Footer">
    <w:name w:val="footer"/>
    <w:basedOn w:val="Normal"/>
    <w:link w:val="FooterChar"/>
    <w:uiPriority w:val="99"/>
    <w:unhideWhenUsed/>
    <w:rsid w:val="00577C94"/>
    <w:pPr>
      <w:tabs>
        <w:tab w:val="center" w:pos="4419"/>
        <w:tab w:val="right" w:pos="8838"/>
      </w:tabs>
    </w:pPr>
  </w:style>
  <w:style w:type="character" w:customStyle="1" w:styleId="FooterChar">
    <w:name w:val="Footer Char"/>
    <w:basedOn w:val="DefaultParagraphFont"/>
    <w:link w:val="Footer"/>
    <w:uiPriority w:val="99"/>
    <w:rsid w:val="00577C94"/>
    <w:rPr>
      <w:rFonts w:ascii="Georgia" w:hAnsi="Georgia" w:cs="Times New Roman"/>
      <w:szCs w:val="24"/>
      <w:lang w:eastAsia="zh-CN"/>
    </w:rPr>
  </w:style>
  <w:style w:type="paragraph" w:customStyle="1" w:styleId="Default">
    <w:name w:val="Default"/>
    <w:rsid w:val="00901C34"/>
    <w:pPr>
      <w:autoSpaceDE w:val="0"/>
      <w:autoSpaceDN w:val="0"/>
      <w:adjustRightInd w:val="0"/>
      <w:spacing w:after="0" w:line="240" w:lineRule="auto"/>
    </w:pPr>
    <w:rPr>
      <w:rFonts w:ascii="Georgia" w:hAnsi="Georgia" w:cs="Georgia"/>
      <w:color w:val="000000"/>
      <w:sz w:val="24"/>
      <w:szCs w:val="24"/>
      <w:lang w:val="es-ES"/>
    </w:r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C87823"/>
    <w:rPr>
      <w:rFonts w:ascii="Georgia" w:hAnsi="Georgia" w:cs="Times New Roman"/>
      <w:lang w:eastAsia="en-GB"/>
    </w:rPr>
  </w:style>
  <w:style w:type="paragraph" w:styleId="EndnoteText">
    <w:name w:val="endnote text"/>
    <w:basedOn w:val="Normal"/>
    <w:link w:val="EndnoteTextChar"/>
    <w:uiPriority w:val="99"/>
    <w:semiHidden/>
    <w:unhideWhenUsed/>
    <w:rsid w:val="00833EE0"/>
    <w:rPr>
      <w:sz w:val="20"/>
      <w:szCs w:val="20"/>
    </w:rPr>
  </w:style>
  <w:style w:type="character" w:customStyle="1" w:styleId="EndnoteTextChar">
    <w:name w:val="Endnote Text Char"/>
    <w:basedOn w:val="DefaultParagraphFont"/>
    <w:link w:val="EndnoteText"/>
    <w:uiPriority w:val="99"/>
    <w:semiHidden/>
    <w:rsid w:val="00833EE0"/>
    <w:rPr>
      <w:rFonts w:ascii="Georgia" w:hAnsi="Georgia" w:cs="Times New Roman"/>
      <w:sz w:val="20"/>
      <w:szCs w:val="20"/>
      <w:lang w:eastAsia="zh-CN"/>
    </w:rPr>
  </w:style>
  <w:style w:type="character" w:styleId="EndnoteReference">
    <w:name w:val="endnote reference"/>
    <w:basedOn w:val="DefaultParagraphFont"/>
    <w:uiPriority w:val="99"/>
    <w:semiHidden/>
    <w:unhideWhenUsed/>
    <w:rsid w:val="00833EE0"/>
    <w:rPr>
      <w:vertAlign w:val="superscript"/>
    </w:rPr>
  </w:style>
  <w:style w:type="paragraph" w:styleId="NoSpacing">
    <w:name w:val="No Spacing"/>
    <w:basedOn w:val="Normal"/>
    <w:link w:val="NoSpacingChar"/>
    <w:uiPriority w:val="1"/>
    <w:qFormat/>
    <w:rsid w:val="00ED2DC5"/>
    <w:rPr>
      <w:rFonts w:ascii="Calibri" w:hAnsi="Calibri"/>
      <w:sz w:val="20"/>
      <w:szCs w:val="20"/>
      <w:lang w:val="en-US" w:eastAsia="en-US" w:bidi="en-US"/>
    </w:rPr>
  </w:style>
  <w:style w:type="character" w:customStyle="1" w:styleId="NoSpacingChar">
    <w:name w:val="No Spacing Char"/>
    <w:basedOn w:val="DefaultParagraphFont"/>
    <w:link w:val="NoSpacing"/>
    <w:uiPriority w:val="1"/>
    <w:rsid w:val="00ED2DC5"/>
    <w:rPr>
      <w:rFonts w:ascii="Calibri" w:hAnsi="Calibri" w:cs="Times New Roman"/>
      <w:sz w:val="20"/>
      <w:szCs w:val="20"/>
      <w:lang w:val="en-US" w:bidi="en-US"/>
    </w:rPr>
  </w:style>
  <w:style w:type="character" w:customStyle="1" w:styleId="Heading1Char">
    <w:name w:val="Heading 1 Char"/>
    <w:basedOn w:val="DefaultParagraphFont"/>
    <w:link w:val="Heading1"/>
    <w:uiPriority w:val="9"/>
    <w:rsid w:val="00866E51"/>
    <w:rPr>
      <w:rFonts w:asciiTheme="majorHAnsi" w:eastAsiaTheme="majorEastAsia" w:hAnsiTheme="majorHAnsi" w:cstheme="majorBidi"/>
      <w:b/>
      <w:bCs/>
      <w:color w:val="365F91" w:themeColor="accent1" w:themeShade="BF"/>
      <w:sz w:val="28"/>
      <w:szCs w:val="28"/>
      <w:lang w:eastAsia="zh-CN"/>
    </w:rPr>
  </w:style>
  <w:style w:type="character" w:customStyle="1" w:styleId="Mencinsinresolver1">
    <w:name w:val="Mención sin resolver1"/>
    <w:basedOn w:val="DefaultParagraphFont"/>
    <w:uiPriority w:val="99"/>
    <w:semiHidden/>
    <w:unhideWhenUsed/>
    <w:rsid w:val="00CF4AE4"/>
    <w:rPr>
      <w:color w:val="605E5C"/>
      <w:shd w:val="clear" w:color="auto" w:fill="E1DFDD"/>
    </w:rPr>
  </w:style>
  <w:style w:type="character" w:customStyle="1" w:styleId="Mencinsinresolver2">
    <w:name w:val="Mención sin resolver2"/>
    <w:basedOn w:val="DefaultParagraphFont"/>
    <w:uiPriority w:val="99"/>
    <w:semiHidden/>
    <w:unhideWhenUsed/>
    <w:rsid w:val="00247F9F"/>
    <w:rPr>
      <w:color w:val="605E5C"/>
      <w:shd w:val="clear" w:color="auto" w:fill="E1DFDD"/>
    </w:rPr>
  </w:style>
  <w:style w:type="table" w:styleId="TableGrid">
    <w:name w:val="Table Grid"/>
    <w:basedOn w:val="TableNormal"/>
    <w:uiPriority w:val="39"/>
    <w:rsid w:val="006B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Title">
    <w:name w:val="Cover Page Title"/>
    <w:basedOn w:val="Normal"/>
    <w:uiPriority w:val="53"/>
    <w:qFormat/>
    <w:rsid w:val="00762014"/>
    <w:pPr>
      <w:spacing w:before="200" w:after="200" w:line="240" w:lineRule="atLeast"/>
      <w:contextualSpacing/>
      <w:jc w:val="center"/>
    </w:pPr>
    <w:rPr>
      <w:rFonts w:ascii="Arial" w:eastAsiaTheme="minorHAnsi" w:hAnsi="Arial" w:cstheme="minorBidi"/>
      <w:bCs/>
      <w:color w:val="EEECE1" w:themeColor="background2"/>
      <w:kern w:val="40"/>
      <w:sz w:val="80"/>
      <w:szCs w:val="80"/>
      <w:lang w:val="en-US" w:eastAsia="en-US"/>
    </w:rPr>
  </w:style>
  <w:style w:type="paragraph" w:styleId="TOCHeading">
    <w:name w:val="TOC Heading"/>
    <w:basedOn w:val="Heading1"/>
    <w:next w:val="Normal"/>
    <w:uiPriority w:val="39"/>
    <w:unhideWhenUsed/>
    <w:qFormat/>
    <w:rsid w:val="0076201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762014"/>
    <w:pPr>
      <w:spacing w:after="100"/>
    </w:pPr>
  </w:style>
  <w:style w:type="paragraph" w:styleId="TOC3">
    <w:name w:val="toc 3"/>
    <w:basedOn w:val="Normal"/>
    <w:next w:val="Normal"/>
    <w:autoRedefine/>
    <w:uiPriority w:val="39"/>
    <w:unhideWhenUsed/>
    <w:rsid w:val="00762014"/>
    <w:pPr>
      <w:spacing w:after="100"/>
      <w:ind w:left="440"/>
    </w:pPr>
  </w:style>
  <w:style w:type="paragraph" w:styleId="TOC2">
    <w:name w:val="toc 2"/>
    <w:basedOn w:val="Normal"/>
    <w:next w:val="Normal"/>
    <w:autoRedefine/>
    <w:uiPriority w:val="39"/>
    <w:unhideWhenUsed/>
    <w:rsid w:val="00762014"/>
    <w:pPr>
      <w:spacing w:after="100"/>
      <w:ind w:left="220"/>
    </w:pPr>
  </w:style>
  <w:style w:type="paragraph" w:styleId="Title">
    <w:name w:val="Title"/>
    <w:basedOn w:val="Normal"/>
    <w:next w:val="Normal"/>
    <w:link w:val="TitleChar"/>
    <w:uiPriority w:val="10"/>
    <w:qFormat/>
    <w:rsid w:val="007620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014"/>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76201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62014"/>
    <w:rPr>
      <w:rFonts w:eastAsiaTheme="minorEastAsia"/>
      <w:color w:val="5A5A5A" w:themeColor="text1" w:themeTint="A5"/>
      <w:spacing w:val="15"/>
      <w:lang w:eastAsia="zh-CN"/>
    </w:rPr>
  </w:style>
  <w:style w:type="character" w:styleId="SubtleEmphasis">
    <w:name w:val="Subtle Emphasis"/>
    <w:basedOn w:val="DefaultParagraphFont"/>
    <w:uiPriority w:val="19"/>
    <w:qFormat/>
    <w:rsid w:val="00766AA1"/>
    <w:rPr>
      <w:i/>
      <w:iCs/>
      <w:color w:val="404040" w:themeColor="text1" w:themeTint="BF"/>
    </w:rPr>
  </w:style>
  <w:style w:type="character" w:customStyle="1" w:styleId="Heading2Char">
    <w:name w:val="Heading 2 Char"/>
    <w:basedOn w:val="DefaultParagraphFont"/>
    <w:link w:val="Heading2"/>
    <w:uiPriority w:val="9"/>
    <w:rsid w:val="009E7948"/>
    <w:rPr>
      <w:rFonts w:asciiTheme="majorHAnsi" w:eastAsiaTheme="majorEastAsia" w:hAnsiTheme="majorHAnsi" w:cstheme="majorBidi"/>
      <w:color w:val="365F91" w:themeColor="accent1" w:themeShade="BF"/>
      <w:sz w:val="26"/>
      <w:szCs w:val="26"/>
      <w:lang w:eastAsia="zh-CN"/>
    </w:rPr>
  </w:style>
  <w:style w:type="numbering" w:styleId="111111">
    <w:name w:val="Outline List 2"/>
    <w:basedOn w:val="NoList"/>
    <w:uiPriority w:val="99"/>
    <w:semiHidden/>
    <w:unhideWhenUsed/>
    <w:rsid w:val="007B39B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6606">
      <w:bodyDiv w:val="1"/>
      <w:marLeft w:val="0"/>
      <w:marRight w:val="0"/>
      <w:marTop w:val="0"/>
      <w:marBottom w:val="0"/>
      <w:divBdr>
        <w:top w:val="none" w:sz="0" w:space="0" w:color="auto"/>
        <w:left w:val="none" w:sz="0" w:space="0" w:color="auto"/>
        <w:bottom w:val="none" w:sz="0" w:space="0" w:color="auto"/>
        <w:right w:val="none" w:sz="0" w:space="0" w:color="auto"/>
      </w:divBdr>
    </w:div>
    <w:div w:id="146898796">
      <w:bodyDiv w:val="1"/>
      <w:marLeft w:val="0"/>
      <w:marRight w:val="0"/>
      <w:marTop w:val="0"/>
      <w:marBottom w:val="0"/>
      <w:divBdr>
        <w:top w:val="none" w:sz="0" w:space="0" w:color="auto"/>
        <w:left w:val="none" w:sz="0" w:space="0" w:color="auto"/>
        <w:bottom w:val="none" w:sz="0" w:space="0" w:color="auto"/>
        <w:right w:val="none" w:sz="0" w:space="0" w:color="auto"/>
      </w:divBdr>
    </w:div>
    <w:div w:id="166751608">
      <w:bodyDiv w:val="1"/>
      <w:marLeft w:val="0"/>
      <w:marRight w:val="0"/>
      <w:marTop w:val="0"/>
      <w:marBottom w:val="0"/>
      <w:divBdr>
        <w:top w:val="none" w:sz="0" w:space="0" w:color="auto"/>
        <w:left w:val="none" w:sz="0" w:space="0" w:color="auto"/>
        <w:bottom w:val="none" w:sz="0" w:space="0" w:color="auto"/>
        <w:right w:val="none" w:sz="0" w:space="0" w:color="auto"/>
      </w:divBdr>
    </w:div>
    <w:div w:id="178853941">
      <w:bodyDiv w:val="1"/>
      <w:marLeft w:val="0"/>
      <w:marRight w:val="0"/>
      <w:marTop w:val="0"/>
      <w:marBottom w:val="0"/>
      <w:divBdr>
        <w:top w:val="none" w:sz="0" w:space="0" w:color="auto"/>
        <w:left w:val="none" w:sz="0" w:space="0" w:color="auto"/>
        <w:bottom w:val="none" w:sz="0" w:space="0" w:color="auto"/>
        <w:right w:val="none" w:sz="0" w:space="0" w:color="auto"/>
      </w:divBdr>
    </w:div>
    <w:div w:id="213932067">
      <w:bodyDiv w:val="1"/>
      <w:marLeft w:val="0"/>
      <w:marRight w:val="0"/>
      <w:marTop w:val="0"/>
      <w:marBottom w:val="0"/>
      <w:divBdr>
        <w:top w:val="none" w:sz="0" w:space="0" w:color="auto"/>
        <w:left w:val="none" w:sz="0" w:space="0" w:color="auto"/>
        <w:bottom w:val="none" w:sz="0" w:space="0" w:color="auto"/>
        <w:right w:val="none" w:sz="0" w:space="0" w:color="auto"/>
      </w:divBdr>
    </w:div>
    <w:div w:id="268247394">
      <w:bodyDiv w:val="1"/>
      <w:marLeft w:val="0"/>
      <w:marRight w:val="0"/>
      <w:marTop w:val="0"/>
      <w:marBottom w:val="0"/>
      <w:divBdr>
        <w:top w:val="none" w:sz="0" w:space="0" w:color="auto"/>
        <w:left w:val="none" w:sz="0" w:space="0" w:color="auto"/>
        <w:bottom w:val="none" w:sz="0" w:space="0" w:color="auto"/>
        <w:right w:val="none" w:sz="0" w:space="0" w:color="auto"/>
      </w:divBdr>
    </w:div>
    <w:div w:id="336468019">
      <w:bodyDiv w:val="1"/>
      <w:marLeft w:val="0"/>
      <w:marRight w:val="0"/>
      <w:marTop w:val="0"/>
      <w:marBottom w:val="0"/>
      <w:divBdr>
        <w:top w:val="none" w:sz="0" w:space="0" w:color="auto"/>
        <w:left w:val="none" w:sz="0" w:space="0" w:color="auto"/>
        <w:bottom w:val="none" w:sz="0" w:space="0" w:color="auto"/>
        <w:right w:val="none" w:sz="0" w:space="0" w:color="auto"/>
      </w:divBdr>
    </w:div>
    <w:div w:id="388500394">
      <w:bodyDiv w:val="1"/>
      <w:marLeft w:val="0"/>
      <w:marRight w:val="0"/>
      <w:marTop w:val="0"/>
      <w:marBottom w:val="0"/>
      <w:divBdr>
        <w:top w:val="none" w:sz="0" w:space="0" w:color="auto"/>
        <w:left w:val="none" w:sz="0" w:space="0" w:color="auto"/>
        <w:bottom w:val="none" w:sz="0" w:space="0" w:color="auto"/>
        <w:right w:val="none" w:sz="0" w:space="0" w:color="auto"/>
      </w:divBdr>
    </w:div>
    <w:div w:id="442113983">
      <w:bodyDiv w:val="1"/>
      <w:marLeft w:val="0"/>
      <w:marRight w:val="0"/>
      <w:marTop w:val="0"/>
      <w:marBottom w:val="0"/>
      <w:divBdr>
        <w:top w:val="none" w:sz="0" w:space="0" w:color="auto"/>
        <w:left w:val="none" w:sz="0" w:space="0" w:color="auto"/>
        <w:bottom w:val="none" w:sz="0" w:space="0" w:color="auto"/>
        <w:right w:val="none" w:sz="0" w:space="0" w:color="auto"/>
      </w:divBdr>
    </w:div>
    <w:div w:id="492188094">
      <w:bodyDiv w:val="1"/>
      <w:marLeft w:val="0"/>
      <w:marRight w:val="0"/>
      <w:marTop w:val="0"/>
      <w:marBottom w:val="0"/>
      <w:divBdr>
        <w:top w:val="none" w:sz="0" w:space="0" w:color="auto"/>
        <w:left w:val="none" w:sz="0" w:space="0" w:color="auto"/>
        <w:bottom w:val="none" w:sz="0" w:space="0" w:color="auto"/>
        <w:right w:val="none" w:sz="0" w:space="0" w:color="auto"/>
      </w:divBdr>
    </w:div>
    <w:div w:id="505629853">
      <w:bodyDiv w:val="1"/>
      <w:marLeft w:val="0"/>
      <w:marRight w:val="0"/>
      <w:marTop w:val="0"/>
      <w:marBottom w:val="0"/>
      <w:divBdr>
        <w:top w:val="none" w:sz="0" w:space="0" w:color="auto"/>
        <w:left w:val="none" w:sz="0" w:space="0" w:color="auto"/>
        <w:bottom w:val="none" w:sz="0" w:space="0" w:color="auto"/>
        <w:right w:val="none" w:sz="0" w:space="0" w:color="auto"/>
      </w:divBdr>
    </w:div>
    <w:div w:id="608003632">
      <w:bodyDiv w:val="1"/>
      <w:marLeft w:val="0"/>
      <w:marRight w:val="0"/>
      <w:marTop w:val="0"/>
      <w:marBottom w:val="0"/>
      <w:divBdr>
        <w:top w:val="none" w:sz="0" w:space="0" w:color="auto"/>
        <w:left w:val="none" w:sz="0" w:space="0" w:color="auto"/>
        <w:bottom w:val="none" w:sz="0" w:space="0" w:color="auto"/>
        <w:right w:val="none" w:sz="0" w:space="0" w:color="auto"/>
      </w:divBdr>
      <w:divsChild>
        <w:div w:id="1836261029">
          <w:marLeft w:val="0"/>
          <w:marRight w:val="0"/>
          <w:marTop w:val="0"/>
          <w:marBottom w:val="0"/>
          <w:divBdr>
            <w:top w:val="none" w:sz="0" w:space="0" w:color="auto"/>
            <w:left w:val="none" w:sz="0" w:space="0" w:color="auto"/>
            <w:bottom w:val="none" w:sz="0" w:space="0" w:color="auto"/>
            <w:right w:val="none" w:sz="0" w:space="0" w:color="auto"/>
          </w:divBdr>
          <w:divsChild>
            <w:div w:id="507134937">
              <w:marLeft w:val="0"/>
              <w:marRight w:val="0"/>
              <w:marTop w:val="0"/>
              <w:marBottom w:val="0"/>
              <w:divBdr>
                <w:top w:val="none" w:sz="0" w:space="0" w:color="auto"/>
                <w:left w:val="none" w:sz="0" w:space="0" w:color="auto"/>
                <w:bottom w:val="none" w:sz="0" w:space="0" w:color="auto"/>
                <w:right w:val="none" w:sz="0" w:space="0" w:color="auto"/>
              </w:divBdr>
            </w:div>
            <w:div w:id="756757329">
              <w:marLeft w:val="0"/>
              <w:marRight w:val="0"/>
              <w:marTop w:val="0"/>
              <w:marBottom w:val="0"/>
              <w:divBdr>
                <w:top w:val="none" w:sz="0" w:space="0" w:color="auto"/>
                <w:left w:val="none" w:sz="0" w:space="0" w:color="auto"/>
                <w:bottom w:val="none" w:sz="0" w:space="0" w:color="auto"/>
                <w:right w:val="none" w:sz="0" w:space="0" w:color="auto"/>
              </w:divBdr>
            </w:div>
            <w:div w:id="865873363">
              <w:marLeft w:val="0"/>
              <w:marRight w:val="0"/>
              <w:marTop w:val="0"/>
              <w:marBottom w:val="0"/>
              <w:divBdr>
                <w:top w:val="none" w:sz="0" w:space="0" w:color="auto"/>
                <w:left w:val="none" w:sz="0" w:space="0" w:color="auto"/>
                <w:bottom w:val="none" w:sz="0" w:space="0" w:color="auto"/>
                <w:right w:val="none" w:sz="0" w:space="0" w:color="auto"/>
              </w:divBdr>
            </w:div>
            <w:div w:id="1054502347">
              <w:marLeft w:val="0"/>
              <w:marRight w:val="0"/>
              <w:marTop w:val="0"/>
              <w:marBottom w:val="0"/>
              <w:divBdr>
                <w:top w:val="none" w:sz="0" w:space="0" w:color="auto"/>
                <w:left w:val="none" w:sz="0" w:space="0" w:color="auto"/>
                <w:bottom w:val="none" w:sz="0" w:space="0" w:color="auto"/>
                <w:right w:val="none" w:sz="0" w:space="0" w:color="auto"/>
              </w:divBdr>
            </w:div>
            <w:div w:id="1196191050">
              <w:marLeft w:val="0"/>
              <w:marRight w:val="0"/>
              <w:marTop w:val="0"/>
              <w:marBottom w:val="0"/>
              <w:divBdr>
                <w:top w:val="none" w:sz="0" w:space="0" w:color="auto"/>
                <w:left w:val="none" w:sz="0" w:space="0" w:color="auto"/>
                <w:bottom w:val="none" w:sz="0" w:space="0" w:color="auto"/>
                <w:right w:val="none" w:sz="0" w:space="0" w:color="auto"/>
              </w:divBdr>
            </w:div>
            <w:div w:id="1219587542">
              <w:marLeft w:val="0"/>
              <w:marRight w:val="0"/>
              <w:marTop w:val="0"/>
              <w:marBottom w:val="0"/>
              <w:divBdr>
                <w:top w:val="none" w:sz="0" w:space="0" w:color="auto"/>
                <w:left w:val="none" w:sz="0" w:space="0" w:color="auto"/>
                <w:bottom w:val="none" w:sz="0" w:space="0" w:color="auto"/>
                <w:right w:val="none" w:sz="0" w:space="0" w:color="auto"/>
              </w:divBdr>
            </w:div>
            <w:div w:id="1353268466">
              <w:marLeft w:val="0"/>
              <w:marRight w:val="0"/>
              <w:marTop w:val="0"/>
              <w:marBottom w:val="0"/>
              <w:divBdr>
                <w:top w:val="none" w:sz="0" w:space="0" w:color="auto"/>
                <w:left w:val="none" w:sz="0" w:space="0" w:color="auto"/>
                <w:bottom w:val="none" w:sz="0" w:space="0" w:color="auto"/>
                <w:right w:val="none" w:sz="0" w:space="0" w:color="auto"/>
              </w:divBdr>
            </w:div>
            <w:div w:id="1657883268">
              <w:marLeft w:val="0"/>
              <w:marRight w:val="0"/>
              <w:marTop w:val="0"/>
              <w:marBottom w:val="0"/>
              <w:divBdr>
                <w:top w:val="none" w:sz="0" w:space="0" w:color="auto"/>
                <w:left w:val="none" w:sz="0" w:space="0" w:color="auto"/>
                <w:bottom w:val="none" w:sz="0" w:space="0" w:color="auto"/>
                <w:right w:val="none" w:sz="0" w:space="0" w:color="auto"/>
              </w:divBdr>
            </w:div>
            <w:div w:id="1724673000">
              <w:marLeft w:val="0"/>
              <w:marRight w:val="0"/>
              <w:marTop w:val="0"/>
              <w:marBottom w:val="0"/>
              <w:divBdr>
                <w:top w:val="none" w:sz="0" w:space="0" w:color="auto"/>
                <w:left w:val="none" w:sz="0" w:space="0" w:color="auto"/>
                <w:bottom w:val="none" w:sz="0" w:space="0" w:color="auto"/>
                <w:right w:val="none" w:sz="0" w:space="0" w:color="auto"/>
              </w:divBdr>
            </w:div>
          </w:divsChild>
        </w:div>
        <w:div w:id="2038383485">
          <w:marLeft w:val="0"/>
          <w:marRight w:val="0"/>
          <w:marTop w:val="0"/>
          <w:marBottom w:val="0"/>
          <w:divBdr>
            <w:top w:val="single" w:sz="12" w:space="0" w:color="D2D2D2"/>
            <w:left w:val="single" w:sz="12" w:space="0" w:color="D2D2D2"/>
            <w:bottom w:val="single" w:sz="12" w:space="0" w:color="D2D2D2"/>
            <w:right w:val="single" w:sz="12" w:space="0" w:color="D2D2D2"/>
          </w:divBdr>
          <w:divsChild>
            <w:div w:id="1092818124">
              <w:marLeft w:val="0"/>
              <w:marRight w:val="0"/>
              <w:marTop w:val="0"/>
              <w:marBottom w:val="0"/>
              <w:divBdr>
                <w:top w:val="none" w:sz="0" w:space="0" w:color="auto"/>
                <w:left w:val="none" w:sz="0" w:space="0" w:color="auto"/>
                <w:bottom w:val="none" w:sz="0" w:space="0" w:color="auto"/>
                <w:right w:val="none" w:sz="0" w:space="0" w:color="auto"/>
              </w:divBdr>
            </w:div>
            <w:div w:id="14294242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38461902">
      <w:bodyDiv w:val="1"/>
      <w:marLeft w:val="0"/>
      <w:marRight w:val="0"/>
      <w:marTop w:val="0"/>
      <w:marBottom w:val="0"/>
      <w:divBdr>
        <w:top w:val="none" w:sz="0" w:space="0" w:color="auto"/>
        <w:left w:val="none" w:sz="0" w:space="0" w:color="auto"/>
        <w:bottom w:val="none" w:sz="0" w:space="0" w:color="auto"/>
        <w:right w:val="none" w:sz="0" w:space="0" w:color="auto"/>
      </w:divBdr>
    </w:div>
    <w:div w:id="644313329">
      <w:bodyDiv w:val="1"/>
      <w:marLeft w:val="0"/>
      <w:marRight w:val="0"/>
      <w:marTop w:val="0"/>
      <w:marBottom w:val="0"/>
      <w:divBdr>
        <w:top w:val="none" w:sz="0" w:space="0" w:color="auto"/>
        <w:left w:val="none" w:sz="0" w:space="0" w:color="auto"/>
        <w:bottom w:val="none" w:sz="0" w:space="0" w:color="auto"/>
        <w:right w:val="none" w:sz="0" w:space="0" w:color="auto"/>
      </w:divBdr>
    </w:div>
    <w:div w:id="654458892">
      <w:bodyDiv w:val="1"/>
      <w:marLeft w:val="0"/>
      <w:marRight w:val="0"/>
      <w:marTop w:val="0"/>
      <w:marBottom w:val="0"/>
      <w:divBdr>
        <w:top w:val="none" w:sz="0" w:space="0" w:color="auto"/>
        <w:left w:val="none" w:sz="0" w:space="0" w:color="auto"/>
        <w:bottom w:val="none" w:sz="0" w:space="0" w:color="auto"/>
        <w:right w:val="none" w:sz="0" w:space="0" w:color="auto"/>
      </w:divBdr>
    </w:div>
    <w:div w:id="728114753">
      <w:bodyDiv w:val="1"/>
      <w:marLeft w:val="0"/>
      <w:marRight w:val="0"/>
      <w:marTop w:val="0"/>
      <w:marBottom w:val="0"/>
      <w:divBdr>
        <w:top w:val="none" w:sz="0" w:space="0" w:color="auto"/>
        <w:left w:val="none" w:sz="0" w:space="0" w:color="auto"/>
        <w:bottom w:val="none" w:sz="0" w:space="0" w:color="auto"/>
        <w:right w:val="none" w:sz="0" w:space="0" w:color="auto"/>
      </w:divBdr>
    </w:div>
    <w:div w:id="887763215">
      <w:bodyDiv w:val="1"/>
      <w:marLeft w:val="0"/>
      <w:marRight w:val="0"/>
      <w:marTop w:val="0"/>
      <w:marBottom w:val="0"/>
      <w:divBdr>
        <w:top w:val="none" w:sz="0" w:space="0" w:color="auto"/>
        <w:left w:val="none" w:sz="0" w:space="0" w:color="auto"/>
        <w:bottom w:val="none" w:sz="0" w:space="0" w:color="auto"/>
        <w:right w:val="none" w:sz="0" w:space="0" w:color="auto"/>
      </w:divBdr>
    </w:div>
    <w:div w:id="891965294">
      <w:bodyDiv w:val="1"/>
      <w:marLeft w:val="0"/>
      <w:marRight w:val="0"/>
      <w:marTop w:val="0"/>
      <w:marBottom w:val="0"/>
      <w:divBdr>
        <w:top w:val="none" w:sz="0" w:space="0" w:color="auto"/>
        <w:left w:val="none" w:sz="0" w:space="0" w:color="auto"/>
        <w:bottom w:val="none" w:sz="0" w:space="0" w:color="auto"/>
        <w:right w:val="none" w:sz="0" w:space="0" w:color="auto"/>
      </w:divBdr>
    </w:div>
    <w:div w:id="920914978">
      <w:bodyDiv w:val="1"/>
      <w:marLeft w:val="0"/>
      <w:marRight w:val="0"/>
      <w:marTop w:val="0"/>
      <w:marBottom w:val="0"/>
      <w:divBdr>
        <w:top w:val="none" w:sz="0" w:space="0" w:color="auto"/>
        <w:left w:val="none" w:sz="0" w:space="0" w:color="auto"/>
        <w:bottom w:val="none" w:sz="0" w:space="0" w:color="auto"/>
        <w:right w:val="none" w:sz="0" w:space="0" w:color="auto"/>
      </w:divBdr>
    </w:div>
    <w:div w:id="982464510">
      <w:bodyDiv w:val="1"/>
      <w:marLeft w:val="0"/>
      <w:marRight w:val="0"/>
      <w:marTop w:val="0"/>
      <w:marBottom w:val="0"/>
      <w:divBdr>
        <w:top w:val="none" w:sz="0" w:space="0" w:color="auto"/>
        <w:left w:val="none" w:sz="0" w:space="0" w:color="auto"/>
        <w:bottom w:val="none" w:sz="0" w:space="0" w:color="auto"/>
        <w:right w:val="none" w:sz="0" w:space="0" w:color="auto"/>
      </w:divBdr>
    </w:div>
    <w:div w:id="1056666804">
      <w:bodyDiv w:val="1"/>
      <w:marLeft w:val="0"/>
      <w:marRight w:val="0"/>
      <w:marTop w:val="0"/>
      <w:marBottom w:val="0"/>
      <w:divBdr>
        <w:top w:val="none" w:sz="0" w:space="0" w:color="auto"/>
        <w:left w:val="none" w:sz="0" w:space="0" w:color="auto"/>
        <w:bottom w:val="none" w:sz="0" w:space="0" w:color="auto"/>
        <w:right w:val="none" w:sz="0" w:space="0" w:color="auto"/>
      </w:divBdr>
    </w:div>
    <w:div w:id="1253246963">
      <w:bodyDiv w:val="1"/>
      <w:marLeft w:val="0"/>
      <w:marRight w:val="0"/>
      <w:marTop w:val="0"/>
      <w:marBottom w:val="0"/>
      <w:divBdr>
        <w:top w:val="none" w:sz="0" w:space="0" w:color="auto"/>
        <w:left w:val="none" w:sz="0" w:space="0" w:color="auto"/>
        <w:bottom w:val="none" w:sz="0" w:space="0" w:color="auto"/>
        <w:right w:val="none" w:sz="0" w:space="0" w:color="auto"/>
      </w:divBdr>
    </w:div>
    <w:div w:id="1349873436">
      <w:bodyDiv w:val="1"/>
      <w:marLeft w:val="0"/>
      <w:marRight w:val="0"/>
      <w:marTop w:val="0"/>
      <w:marBottom w:val="0"/>
      <w:divBdr>
        <w:top w:val="none" w:sz="0" w:space="0" w:color="auto"/>
        <w:left w:val="none" w:sz="0" w:space="0" w:color="auto"/>
        <w:bottom w:val="none" w:sz="0" w:space="0" w:color="auto"/>
        <w:right w:val="none" w:sz="0" w:space="0" w:color="auto"/>
      </w:divBdr>
    </w:div>
    <w:div w:id="1464956375">
      <w:bodyDiv w:val="1"/>
      <w:marLeft w:val="0"/>
      <w:marRight w:val="0"/>
      <w:marTop w:val="0"/>
      <w:marBottom w:val="0"/>
      <w:divBdr>
        <w:top w:val="none" w:sz="0" w:space="0" w:color="auto"/>
        <w:left w:val="none" w:sz="0" w:space="0" w:color="auto"/>
        <w:bottom w:val="none" w:sz="0" w:space="0" w:color="auto"/>
        <w:right w:val="none" w:sz="0" w:space="0" w:color="auto"/>
      </w:divBdr>
    </w:div>
    <w:div w:id="1578435359">
      <w:bodyDiv w:val="1"/>
      <w:marLeft w:val="0"/>
      <w:marRight w:val="0"/>
      <w:marTop w:val="0"/>
      <w:marBottom w:val="0"/>
      <w:divBdr>
        <w:top w:val="none" w:sz="0" w:space="0" w:color="auto"/>
        <w:left w:val="none" w:sz="0" w:space="0" w:color="auto"/>
        <w:bottom w:val="none" w:sz="0" w:space="0" w:color="auto"/>
        <w:right w:val="none" w:sz="0" w:space="0" w:color="auto"/>
      </w:divBdr>
    </w:div>
    <w:div w:id="1672370589">
      <w:bodyDiv w:val="1"/>
      <w:marLeft w:val="0"/>
      <w:marRight w:val="0"/>
      <w:marTop w:val="0"/>
      <w:marBottom w:val="0"/>
      <w:divBdr>
        <w:top w:val="none" w:sz="0" w:space="0" w:color="auto"/>
        <w:left w:val="none" w:sz="0" w:space="0" w:color="auto"/>
        <w:bottom w:val="none" w:sz="0" w:space="0" w:color="auto"/>
        <w:right w:val="none" w:sz="0" w:space="0" w:color="auto"/>
      </w:divBdr>
    </w:div>
    <w:div w:id="1731147931">
      <w:bodyDiv w:val="1"/>
      <w:marLeft w:val="0"/>
      <w:marRight w:val="0"/>
      <w:marTop w:val="0"/>
      <w:marBottom w:val="0"/>
      <w:divBdr>
        <w:top w:val="none" w:sz="0" w:space="0" w:color="auto"/>
        <w:left w:val="none" w:sz="0" w:space="0" w:color="auto"/>
        <w:bottom w:val="none" w:sz="0" w:space="0" w:color="auto"/>
        <w:right w:val="none" w:sz="0" w:space="0" w:color="auto"/>
      </w:divBdr>
    </w:div>
    <w:div w:id="1733697176">
      <w:bodyDiv w:val="1"/>
      <w:marLeft w:val="0"/>
      <w:marRight w:val="0"/>
      <w:marTop w:val="0"/>
      <w:marBottom w:val="0"/>
      <w:divBdr>
        <w:top w:val="none" w:sz="0" w:space="0" w:color="auto"/>
        <w:left w:val="none" w:sz="0" w:space="0" w:color="auto"/>
        <w:bottom w:val="none" w:sz="0" w:space="0" w:color="auto"/>
        <w:right w:val="none" w:sz="0" w:space="0" w:color="auto"/>
      </w:divBdr>
    </w:div>
    <w:div w:id="1850560754">
      <w:bodyDiv w:val="1"/>
      <w:marLeft w:val="0"/>
      <w:marRight w:val="0"/>
      <w:marTop w:val="0"/>
      <w:marBottom w:val="0"/>
      <w:divBdr>
        <w:top w:val="none" w:sz="0" w:space="0" w:color="auto"/>
        <w:left w:val="none" w:sz="0" w:space="0" w:color="auto"/>
        <w:bottom w:val="none" w:sz="0" w:space="0" w:color="auto"/>
        <w:right w:val="none" w:sz="0" w:space="0" w:color="auto"/>
      </w:divBdr>
    </w:div>
    <w:div w:id="1851287581">
      <w:bodyDiv w:val="1"/>
      <w:marLeft w:val="0"/>
      <w:marRight w:val="0"/>
      <w:marTop w:val="0"/>
      <w:marBottom w:val="0"/>
      <w:divBdr>
        <w:top w:val="none" w:sz="0" w:space="0" w:color="auto"/>
        <w:left w:val="none" w:sz="0" w:space="0" w:color="auto"/>
        <w:bottom w:val="none" w:sz="0" w:space="0" w:color="auto"/>
        <w:right w:val="none" w:sz="0" w:space="0" w:color="auto"/>
      </w:divBdr>
    </w:div>
    <w:div w:id="1960797620">
      <w:bodyDiv w:val="1"/>
      <w:marLeft w:val="0"/>
      <w:marRight w:val="0"/>
      <w:marTop w:val="0"/>
      <w:marBottom w:val="0"/>
      <w:divBdr>
        <w:top w:val="none" w:sz="0" w:space="0" w:color="auto"/>
        <w:left w:val="none" w:sz="0" w:space="0" w:color="auto"/>
        <w:bottom w:val="none" w:sz="0" w:space="0" w:color="auto"/>
        <w:right w:val="none" w:sz="0" w:space="0" w:color="auto"/>
      </w:divBdr>
    </w:div>
    <w:div w:id="2028557700">
      <w:bodyDiv w:val="1"/>
      <w:marLeft w:val="0"/>
      <w:marRight w:val="0"/>
      <w:marTop w:val="0"/>
      <w:marBottom w:val="0"/>
      <w:divBdr>
        <w:top w:val="none" w:sz="0" w:space="0" w:color="auto"/>
        <w:left w:val="none" w:sz="0" w:space="0" w:color="auto"/>
        <w:bottom w:val="none" w:sz="0" w:space="0" w:color="auto"/>
        <w:right w:val="none" w:sz="0" w:space="0" w:color="auto"/>
      </w:divBdr>
    </w:div>
    <w:div w:id="205130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www.theglobalfund.org/en/guideline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mailto:mgarrido@nicasalud.org.n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cruizg@nicasalud.org.ni" TargetMode="External"/><Relationship Id="rId33" Type="http://schemas.openxmlformats.org/officeDocument/2006/relationships/hyperlink" Target="mailto:mgarrido@nicasalud.org.n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nsalud@nicasalud.org.ni" TargetMode="External"/><Relationship Id="rId29" Type="http://schemas.openxmlformats.org/officeDocument/2006/relationships/hyperlink" Target="https://www.theglobalfund.org/media/10079/core_annualauditsoffinancialstatements_guideline_es.pdf?u=63734123916157000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campos@nicasalud.org.ni" TargetMode="External"/><Relationship Id="rId32" Type="http://schemas.openxmlformats.org/officeDocument/2006/relationships/hyperlink" Target="https://www.intosai.org/es/?r=1&amp;cHash=e4b27dfdb271d35c5863a36023c91523"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medrano@nicasalud.org.ni" TargetMode="External"/><Relationship Id="rId28" Type="http://schemas.openxmlformats.org/officeDocument/2006/relationships/hyperlink" Target="https://www.theglobalfund.org/media/7540/financial_financialriskmanagement_guidelines_en.pdf?u=63678402085000000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icasalud.org.ni" TargetMode="External"/><Relationship Id="rId31" Type="http://schemas.openxmlformats.org/officeDocument/2006/relationships/hyperlink" Target="http://web.ifac.org/download/ISA_265_standalone_2009_Handbook.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www.intosai.org/" TargetMode="External"/><Relationship Id="rId30" Type="http://schemas.openxmlformats.org/officeDocument/2006/relationships/hyperlink" Target="http://web.ifac.org/download/ISA_260_standalone_2009_Handbook.pdf" TargetMode="External"/><Relationship Id="rId35"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oursehero.com/file/p13iulp/When-designing-and-performing-tests-of-c" TargetMode="External"/><Relationship Id="rId2" Type="http://schemas.openxmlformats.org/officeDocument/2006/relationships/hyperlink" Target="https://www.theglobalfund.org/media/6156/core_pudr_guidelines_en.pdf" TargetMode="External"/><Relationship Id="rId1" Type="http://schemas.openxmlformats.org/officeDocument/2006/relationships/hyperlink" Target="https://www.theglobalfund.org/media/5682/core_grant_regul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11EC11EC954235428E2478CFABEAB90E" ma:contentTypeVersion="1" ma:contentTypeDescription="A Word document." ma:contentTypeScope="" ma:versionID="df5498499fdab25609312cc846ae3dea">
  <xsd:schema xmlns:xsd="http://www.w3.org/2001/XMLSchema" xmlns:xs="http://www.w3.org/2001/XMLSchema" xmlns:p="http://schemas.microsoft.com/office/2006/metadata/properties" xmlns:ns2="fe6c7fb6-74c2-4e0d-9f81-97d604f4dac7" targetNamespace="http://schemas.microsoft.com/office/2006/metadata/properties" ma:root="true" ma:fieldsID="6f18c1c8410b213986be385e1e9ab66b" ns2:_="">
    <xsd:import namespace="fe6c7fb6-74c2-4e0d-9f81-97d604f4da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c7fb6-74c2-4e0d-9f81-97d604f4da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0E7A-A76B-407D-B256-2194A13E6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4A0B3-B1E0-4372-B98E-A7F318D34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c7fb6-74c2-4e0d-9f81-97d604f4d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C6EA2-F06C-4F06-B22F-55B2E311D270}">
  <ds:schemaRefs>
    <ds:schemaRef ds:uri="http://schemas.microsoft.com/sharepoint/events"/>
  </ds:schemaRefs>
</ds:datastoreItem>
</file>

<file path=customXml/itemProps4.xml><?xml version="1.0" encoding="utf-8"?>
<ds:datastoreItem xmlns:ds="http://schemas.openxmlformats.org/officeDocument/2006/customXml" ds:itemID="{BAA8B09D-7BE8-4554-8901-7DAE054286DD}">
  <ds:schemaRefs>
    <ds:schemaRef ds:uri="Microsoft.SharePoint.Taxonomy.ContentTypeSync"/>
  </ds:schemaRefs>
</ds:datastoreItem>
</file>

<file path=customXml/itemProps5.xml><?xml version="1.0" encoding="utf-8"?>
<ds:datastoreItem xmlns:ds="http://schemas.openxmlformats.org/officeDocument/2006/customXml" ds:itemID="{F9FB768E-047B-4453-B202-63D5C853D775}">
  <ds:schemaRefs>
    <ds:schemaRef ds:uri="http://schemas.microsoft.com/sharepoint/v3/contenttype/forms"/>
  </ds:schemaRefs>
</ds:datastoreItem>
</file>

<file path=customXml/itemProps6.xml><?xml version="1.0" encoding="utf-8"?>
<ds:datastoreItem xmlns:ds="http://schemas.openxmlformats.org/officeDocument/2006/customXml" ds:itemID="{BD1CB55C-8DD4-4329-88E3-025FC0F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12553</Words>
  <Characters>69043</Characters>
  <Application>Microsoft Office Word</Application>
  <DocSecurity>0</DocSecurity>
  <Lines>575</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2022-12-15T22:22:00Z</dcterms:created>
  <dcterms:modified xsi:type="dcterms:W3CDTF">2022-12-15T22:22:00Z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0x01010014768F94803F42BEA62C5B7969543DC70011EC11EC954235428E2478CFABEAB90E</vt:lpwstr>
  </property>
</Properties>
</file>