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51CC" w14:textId="77777777" w:rsidR="00F62447" w:rsidRPr="00D70D46" w:rsidRDefault="00F62447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D70D46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LICITACION PUBLICA </w:t>
      </w:r>
      <w:r w:rsidR="00DE4DAA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NACIONAL </w:t>
      </w:r>
    </w:p>
    <w:p w14:paraId="46E7ED1B" w14:textId="3F6B7EAC" w:rsidR="00F62447" w:rsidRPr="00102145" w:rsidRDefault="00DE4DAA" w:rsidP="00F62447">
      <w:pPr>
        <w:jc w:val="center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NS</w:t>
      </w:r>
      <w:r w:rsidR="00F62447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-00</w:t>
      </w:r>
      <w:r w:rsidR="00F93E79">
        <w:rPr>
          <w:rFonts w:ascii="Arial Narrow" w:hAnsi="Arial Narrow" w:cs="Arial"/>
          <w:b/>
          <w:sz w:val="24"/>
          <w:szCs w:val="24"/>
          <w:lang w:val="es-MX" w:eastAsia="es-ES"/>
        </w:rPr>
        <w:t>2</w:t>
      </w:r>
      <w:r w:rsidR="00F62447" w:rsidRPr="00D70D46">
        <w:rPr>
          <w:rFonts w:ascii="Arial Narrow" w:hAnsi="Arial Narrow" w:cs="Arial"/>
          <w:b/>
          <w:sz w:val="24"/>
          <w:szCs w:val="24"/>
          <w:lang w:val="es-MX" w:eastAsia="es-ES"/>
        </w:rPr>
        <w:t>-202</w:t>
      </w:r>
      <w:r w:rsidR="00F93E79">
        <w:rPr>
          <w:rFonts w:ascii="Arial Narrow" w:hAnsi="Arial Narrow" w:cs="Arial"/>
          <w:b/>
          <w:sz w:val="24"/>
          <w:szCs w:val="24"/>
          <w:lang w:val="es-MX" w:eastAsia="es-ES"/>
        </w:rPr>
        <w:t>6</w:t>
      </w:r>
    </w:p>
    <w:p w14:paraId="4A7FF129" w14:textId="77777777" w:rsidR="00F62447" w:rsidRDefault="00F62447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29538F42" w14:textId="16F395FD" w:rsidR="007E31B4" w:rsidRPr="00E8076A" w:rsidRDefault="00074CBD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  <w:r w:rsidRPr="00E8076A">
        <w:rPr>
          <w:rFonts w:ascii="Arial Narrow" w:hAnsi="Arial Narrow" w:cs="Arial"/>
          <w:b/>
          <w:sz w:val="24"/>
          <w:szCs w:val="24"/>
          <w:lang w:val="es-MX" w:eastAsia="es-ES"/>
        </w:rPr>
        <w:t>Consideraciones para tomar</w:t>
      </w:r>
      <w:r w:rsidR="007E31B4" w:rsidRPr="00E8076A">
        <w:rPr>
          <w:rFonts w:ascii="Arial Narrow" w:hAnsi="Arial Narrow" w:cs="Arial"/>
          <w:b/>
          <w:sz w:val="24"/>
          <w:szCs w:val="24"/>
          <w:lang w:val="es-MX" w:eastAsia="es-ES"/>
        </w:rPr>
        <w:t xml:space="preserve"> en cuenta para presentar oferta:</w:t>
      </w:r>
    </w:p>
    <w:p w14:paraId="05AB96E5" w14:textId="77777777" w:rsidR="007E31B4" w:rsidRPr="00E8076A" w:rsidRDefault="007E31B4" w:rsidP="007E31B4">
      <w:pPr>
        <w:jc w:val="both"/>
        <w:rPr>
          <w:rFonts w:ascii="Arial Narrow" w:hAnsi="Arial Narrow" w:cs="Arial"/>
          <w:b/>
          <w:sz w:val="24"/>
          <w:szCs w:val="24"/>
          <w:lang w:val="es-MX" w:eastAsia="es-ES"/>
        </w:rPr>
      </w:pPr>
    </w:p>
    <w:p w14:paraId="1C19E02B" w14:textId="77777777" w:rsidR="00B51529" w:rsidRPr="00CB297B" w:rsidRDefault="007E31B4" w:rsidP="00B51529">
      <w:pPr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  <w:r w:rsidRPr="00B51529">
        <w:rPr>
          <w:rFonts w:ascii="Arial Narrow" w:hAnsi="Arial Narrow" w:cs="Arial"/>
          <w:sz w:val="24"/>
          <w:szCs w:val="24"/>
          <w:lang w:val="es-MX"/>
        </w:rPr>
        <w:t xml:space="preserve">Emitir Oferta a nombre de: </w:t>
      </w:r>
      <w:r w:rsidR="007A3E9A" w:rsidRPr="00B51529">
        <w:rPr>
          <w:rFonts w:ascii="Arial Narrow" w:hAnsi="Arial Narrow" w:cs="Arial"/>
          <w:b/>
          <w:bCs/>
          <w:sz w:val="24"/>
          <w:szCs w:val="24"/>
          <w:lang w:val="es-MX"/>
        </w:rPr>
        <w:t xml:space="preserve">FEDERACION RED NICASALUD / </w:t>
      </w:r>
      <w:r w:rsidR="00B51529" w:rsidRPr="00B51529">
        <w:rPr>
          <w:rFonts w:ascii="Arial Narrow" w:hAnsi="Arial Narrow" w:cs="Arial"/>
          <w:b/>
          <w:bCs/>
          <w:sz w:val="24"/>
          <w:szCs w:val="24"/>
          <w:lang w:val="es-MX"/>
        </w:rPr>
        <w:t>NIC-M-REDNICA-4187</w:t>
      </w:r>
    </w:p>
    <w:p w14:paraId="00F08FCE" w14:textId="16A939ED" w:rsidR="007E31B4" w:rsidRPr="00B51529" w:rsidRDefault="007E31B4" w:rsidP="00C30C6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u w:val="single"/>
          <w:lang w:val="es-MX"/>
        </w:rPr>
      </w:pPr>
      <w:r w:rsidRPr="00B51529">
        <w:rPr>
          <w:rFonts w:ascii="Arial Narrow" w:hAnsi="Arial Narrow" w:cs="Arial"/>
          <w:sz w:val="24"/>
          <w:szCs w:val="24"/>
          <w:lang w:val="es-MX"/>
        </w:rPr>
        <w:t>Los oferentes deberán indicar el cumplimiento de las especificaciones técnicas</w:t>
      </w:r>
      <w:r w:rsidR="00524584" w:rsidRPr="00B51529">
        <w:rPr>
          <w:rFonts w:ascii="Arial Narrow" w:hAnsi="Arial Narrow" w:cs="Arial"/>
          <w:sz w:val="24"/>
          <w:szCs w:val="24"/>
          <w:lang w:val="es-MX"/>
        </w:rPr>
        <w:t xml:space="preserve">: </w:t>
      </w:r>
      <w:r w:rsidR="00524584" w:rsidRPr="00B51529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Reflejar en la oferta las especificaciones técnicas del </w:t>
      </w:r>
      <w:r w:rsidR="007C293D" w:rsidRPr="00B51529">
        <w:rPr>
          <w:rFonts w:ascii="Arial Narrow" w:hAnsi="Arial Narrow" w:cs="Arial"/>
          <w:b/>
          <w:sz w:val="24"/>
          <w:szCs w:val="24"/>
          <w:u w:val="single"/>
          <w:lang w:val="es-MX"/>
        </w:rPr>
        <w:t>producto</w:t>
      </w:r>
      <w:r w:rsidR="00524584" w:rsidRPr="00B51529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ofertado.  El comité </w:t>
      </w:r>
      <w:r w:rsidR="00D01742" w:rsidRPr="00B51529">
        <w:rPr>
          <w:rFonts w:ascii="Arial Narrow" w:hAnsi="Arial Narrow" w:cs="Arial"/>
          <w:b/>
          <w:sz w:val="24"/>
          <w:szCs w:val="24"/>
          <w:u w:val="single"/>
          <w:lang w:val="es-MX"/>
        </w:rPr>
        <w:t>de adjudicación solo evaluará las ofertas que reflejen toda la información solicitada.</w:t>
      </w:r>
    </w:p>
    <w:p w14:paraId="27C99187" w14:textId="29B0CCC0" w:rsidR="007E31B4" w:rsidRPr="00C6148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C6148A">
        <w:rPr>
          <w:rFonts w:ascii="Arial Narrow" w:hAnsi="Arial Narrow" w:cs="Arial"/>
          <w:sz w:val="24"/>
          <w:szCs w:val="24"/>
          <w:lang w:val="es-MX"/>
        </w:rPr>
        <w:t xml:space="preserve">Fecha de entrega de oferta 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(</w:t>
      </w:r>
      <w:r w:rsidRPr="00C6148A">
        <w:rPr>
          <w:rFonts w:ascii="Arial Narrow" w:hAnsi="Arial Narrow" w:cs="Arial"/>
          <w:sz w:val="24"/>
          <w:szCs w:val="24"/>
          <w:lang w:val="es-MX"/>
        </w:rPr>
        <w:t>técnica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-</w:t>
      </w:r>
      <w:r w:rsidRPr="00C6148A">
        <w:rPr>
          <w:rFonts w:ascii="Arial Narrow" w:hAnsi="Arial Narrow" w:cs="Arial"/>
          <w:sz w:val="24"/>
          <w:szCs w:val="24"/>
          <w:lang w:val="es-MX"/>
        </w:rPr>
        <w:t>económica</w:t>
      </w:r>
      <w:r w:rsidR="007B6DCB" w:rsidRPr="00C6148A">
        <w:rPr>
          <w:rFonts w:ascii="Arial Narrow" w:hAnsi="Arial Narrow" w:cs="Arial"/>
          <w:sz w:val="24"/>
          <w:szCs w:val="24"/>
          <w:lang w:val="es-MX"/>
        </w:rPr>
        <w:t>)</w:t>
      </w:r>
      <w:r w:rsidR="00883346" w:rsidRPr="00C6148A">
        <w:rPr>
          <w:rFonts w:ascii="Arial Narrow" w:hAnsi="Arial Narrow" w:cs="Arial"/>
          <w:sz w:val="24"/>
          <w:szCs w:val="24"/>
          <w:lang w:val="es-MX"/>
        </w:rPr>
        <w:t xml:space="preserve">: A más tardar el </w:t>
      </w:r>
      <w:r w:rsidR="00D92397">
        <w:rPr>
          <w:rFonts w:ascii="Arial Narrow" w:hAnsi="Arial Narrow" w:cs="Arial"/>
          <w:sz w:val="24"/>
          <w:szCs w:val="24"/>
          <w:lang w:val="es-MX"/>
        </w:rPr>
        <w:t>viernes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0A11AC">
        <w:rPr>
          <w:rFonts w:ascii="Arial Narrow" w:hAnsi="Arial Narrow" w:cs="Arial"/>
          <w:b/>
          <w:sz w:val="24"/>
          <w:szCs w:val="24"/>
          <w:u w:val="single"/>
          <w:lang w:val="es-MX"/>
        </w:rPr>
        <w:t>25</w:t>
      </w:r>
      <w:r w:rsidR="00C6148A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0A11AC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junio 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del 20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2</w:t>
      </w:r>
      <w:r w:rsidR="000A11AC">
        <w:rPr>
          <w:rFonts w:ascii="Arial Narrow" w:hAnsi="Arial Narrow" w:cs="Arial"/>
          <w:b/>
          <w:sz w:val="24"/>
          <w:szCs w:val="24"/>
          <w:u w:val="single"/>
          <w:lang w:val="es-MX"/>
        </w:rPr>
        <w:t>6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, a la</w:t>
      </w:r>
      <w:r w:rsidR="004E4D97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s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 </w:t>
      </w:r>
      <w:r w:rsidR="00D94EA5">
        <w:rPr>
          <w:rFonts w:ascii="Arial Narrow" w:hAnsi="Arial Narrow" w:cs="Arial"/>
          <w:b/>
          <w:sz w:val="24"/>
          <w:szCs w:val="24"/>
          <w:u w:val="single"/>
          <w:lang w:val="es-MX"/>
        </w:rPr>
        <w:t>0</w:t>
      </w:r>
      <w:r w:rsidR="00705E54">
        <w:rPr>
          <w:rFonts w:ascii="Arial Narrow" w:hAnsi="Arial Narrow" w:cs="Arial"/>
          <w:b/>
          <w:sz w:val="24"/>
          <w:szCs w:val="24"/>
          <w:u w:val="single"/>
          <w:lang w:val="es-MX"/>
        </w:rPr>
        <w:t>2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:00 </w:t>
      </w:r>
      <w:r w:rsidR="00D94EA5">
        <w:rPr>
          <w:rFonts w:ascii="Arial Narrow" w:hAnsi="Arial Narrow" w:cs="Arial"/>
          <w:b/>
          <w:sz w:val="24"/>
          <w:szCs w:val="24"/>
          <w:u w:val="single"/>
          <w:lang w:val="es-MX"/>
        </w:rPr>
        <w:t>p</w:t>
      </w:r>
      <w:r w:rsidR="00A85956"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.m</w:t>
      </w:r>
      <w:r w:rsidRPr="00C6148A">
        <w:rPr>
          <w:rFonts w:ascii="Arial Narrow" w:hAnsi="Arial Narrow" w:cs="Arial"/>
          <w:b/>
          <w:sz w:val="24"/>
          <w:szCs w:val="24"/>
          <w:u w:val="single"/>
          <w:lang w:val="es-MX"/>
        </w:rPr>
        <w:t>.</w:t>
      </w:r>
    </w:p>
    <w:p w14:paraId="7AE0AAA7" w14:textId="0F84CD95" w:rsidR="001E24D4" w:rsidRPr="001E24D4" w:rsidRDefault="007E0F60" w:rsidP="00201B3A">
      <w:pPr>
        <w:ind w:left="720"/>
        <w:jc w:val="both"/>
        <w:rPr>
          <w:rFonts w:ascii="Arial Narrow" w:hAnsi="Arial Narrow" w:cs="Arial"/>
          <w:b/>
          <w:sz w:val="24"/>
          <w:szCs w:val="24"/>
          <w:u w:val="single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Si la propuesta económica 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>es igual o mayor a U$10,000.00</w:t>
      </w:r>
      <w:r>
        <w:rPr>
          <w:rFonts w:ascii="Arial Narrow" w:hAnsi="Arial Narrow" w:cs="Arial"/>
          <w:sz w:val="24"/>
          <w:szCs w:val="24"/>
          <w:lang w:val="es-MX"/>
        </w:rPr>
        <w:t xml:space="preserve"> o su equivalente en córdobas, l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>a oferta debe ser entregada en sobre cerrado,</w:t>
      </w:r>
      <w:r w:rsidR="007E31B4" w:rsidRPr="00E8076A">
        <w:rPr>
          <w:rFonts w:ascii="Arial Narrow" w:hAnsi="Arial Narrow" w:cs="Arial"/>
          <w:b/>
          <w:sz w:val="24"/>
          <w:szCs w:val="24"/>
          <w:lang w:val="es-MX"/>
        </w:rPr>
        <w:t xml:space="preserve"> indicando el concepto de la Licitación</w:t>
      </w:r>
      <w:r w:rsidR="00883346">
        <w:rPr>
          <w:rFonts w:ascii="Arial Narrow" w:hAnsi="Arial Narrow" w:cs="Arial"/>
          <w:b/>
          <w:sz w:val="24"/>
          <w:szCs w:val="24"/>
          <w:lang w:val="es-MX"/>
        </w:rPr>
        <w:t xml:space="preserve"> (</w:t>
      </w:r>
      <w:r w:rsidR="00883346" w:rsidRPr="003A7E11">
        <w:rPr>
          <w:rFonts w:ascii="Arial" w:hAnsi="Arial" w:cs="Arial"/>
          <w:b/>
          <w:sz w:val="24"/>
          <w:szCs w:val="24"/>
          <w:lang w:val="es-MX"/>
        </w:rPr>
        <w:t>“</w:t>
      </w:r>
      <w:r w:rsidR="000A11AC">
        <w:rPr>
          <w:rFonts w:ascii="Arial" w:hAnsi="Arial" w:cs="Arial"/>
          <w:b/>
          <w:sz w:val="20"/>
          <w:szCs w:val="20"/>
          <w:lang w:val="es-MX"/>
        </w:rPr>
        <w:t>EQUIPOS DE COMPUTO</w:t>
      </w:r>
      <w:r w:rsidR="000C0C96">
        <w:rPr>
          <w:rFonts w:ascii="Arial" w:hAnsi="Arial" w:cs="Arial"/>
          <w:b/>
          <w:sz w:val="20"/>
          <w:szCs w:val="20"/>
          <w:lang w:val="es-MX"/>
        </w:rPr>
        <w:t>S</w:t>
      </w:r>
      <w:r w:rsidR="00465BB0">
        <w:rPr>
          <w:rFonts w:ascii="Arial" w:hAnsi="Arial" w:cs="Arial"/>
          <w:b/>
          <w:sz w:val="20"/>
          <w:szCs w:val="20"/>
          <w:lang w:val="es-MX"/>
        </w:rPr>
        <w:t xml:space="preserve"> DEL COMPONENTE </w:t>
      </w:r>
      <w:r w:rsidR="0014197A">
        <w:rPr>
          <w:rFonts w:ascii="Arial" w:hAnsi="Arial" w:cs="Arial"/>
          <w:b/>
          <w:sz w:val="20"/>
          <w:szCs w:val="20"/>
          <w:lang w:val="es-MX"/>
        </w:rPr>
        <w:t>-</w:t>
      </w:r>
      <w:r w:rsidR="00242B5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14197A">
        <w:rPr>
          <w:rFonts w:ascii="Arial" w:hAnsi="Arial" w:cs="Arial"/>
          <w:b/>
          <w:sz w:val="20"/>
          <w:szCs w:val="20"/>
          <w:lang w:val="es-MX"/>
        </w:rPr>
        <w:t>NIC-</w:t>
      </w:r>
      <w:r w:rsidR="000C0C96">
        <w:rPr>
          <w:rFonts w:ascii="Arial" w:hAnsi="Arial" w:cs="Arial"/>
          <w:b/>
          <w:sz w:val="20"/>
          <w:szCs w:val="20"/>
          <w:lang w:val="es-MX"/>
        </w:rPr>
        <w:t>M</w:t>
      </w:r>
      <w:r w:rsidR="0014197A">
        <w:rPr>
          <w:rFonts w:ascii="Arial" w:hAnsi="Arial" w:cs="Arial"/>
          <w:b/>
          <w:sz w:val="20"/>
          <w:szCs w:val="20"/>
          <w:lang w:val="es-MX"/>
        </w:rPr>
        <w:t>-REDNICA-</w:t>
      </w:r>
      <w:r w:rsidR="00C847DA">
        <w:rPr>
          <w:rFonts w:ascii="Arial" w:hAnsi="Arial" w:cs="Arial"/>
          <w:b/>
          <w:sz w:val="20"/>
          <w:szCs w:val="20"/>
          <w:lang w:val="es-MX"/>
        </w:rPr>
        <w:t>4</w:t>
      </w:r>
      <w:r w:rsidR="000C0C96">
        <w:rPr>
          <w:rFonts w:ascii="Arial" w:hAnsi="Arial" w:cs="Arial"/>
          <w:b/>
          <w:sz w:val="20"/>
          <w:szCs w:val="20"/>
          <w:lang w:val="es-MX"/>
        </w:rPr>
        <w:t>187</w:t>
      </w:r>
      <w:r w:rsidR="00883346" w:rsidRPr="003A7E11">
        <w:rPr>
          <w:rFonts w:ascii="Arial" w:hAnsi="Arial" w:cs="Arial"/>
          <w:b/>
          <w:sz w:val="24"/>
          <w:szCs w:val="24"/>
          <w:lang w:val="es-MX"/>
        </w:rPr>
        <w:t>”</w:t>
      </w:r>
      <w:r w:rsidR="00883346">
        <w:rPr>
          <w:rFonts w:ascii="Arial" w:hAnsi="Arial" w:cs="Arial"/>
          <w:b/>
          <w:sz w:val="24"/>
          <w:szCs w:val="24"/>
          <w:lang w:val="es-MX"/>
        </w:rPr>
        <w:t>)</w:t>
      </w:r>
      <w:r w:rsidR="00883346">
        <w:rPr>
          <w:rFonts w:ascii="Arial Narrow" w:hAnsi="Arial Narrow" w:cs="Arial"/>
          <w:b/>
          <w:sz w:val="24"/>
          <w:szCs w:val="24"/>
          <w:lang w:val="es-MX"/>
        </w:rPr>
        <w:t xml:space="preserve">, 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>con atención a</w:t>
      </w:r>
      <w:r w:rsidR="00883346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>l</w:t>
      </w:r>
      <w:r w:rsidR="00883346">
        <w:rPr>
          <w:rFonts w:ascii="Arial Narrow" w:hAnsi="Arial Narrow" w:cs="Arial"/>
          <w:sz w:val="24"/>
          <w:szCs w:val="24"/>
          <w:lang w:val="es-MX"/>
        </w:rPr>
        <w:t>a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883346">
        <w:rPr>
          <w:rFonts w:ascii="Arial Narrow" w:hAnsi="Arial Narrow" w:cs="Arial"/>
          <w:sz w:val="24"/>
          <w:szCs w:val="24"/>
          <w:lang w:val="es-MX"/>
        </w:rPr>
        <w:t>Lic. Ana Lucia Vanegas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 xml:space="preserve"> y </w:t>
      </w:r>
      <w:r w:rsidR="007E31B4" w:rsidRPr="007E0F60">
        <w:rPr>
          <w:rFonts w:ascii="Arial Narrow" w:hAnsi="Arial Narrow" w:cs="Arial"/>
          <w:sz w:val="24"/>
          <w:szCs w:val="24"/>
          <w:u w:val="single"/>
          <w:lang w:val="es-MX"/>
        </w:rPr>
        <w:t>especificando el nombre de la entidad que la envía</w:t>
      </w:r>
      <w:r w:rsidR="007E31B4" w:rsidRPr="00E8076A">
        <w:rPr>
          <w:rFonts w:ascii="Arial Narrow" w:hAnsi="Arial Narrow" w:cs="Arial"/>
          <w:sz w:val="24"/>
          <w:szCs w:val="24"/>
          <w:lang w:val="es-MX"/>
        </w:rPr>
        <w:t xml:space="preserve">.  En la oficina de NICASALUD: </w:t>
      </w:r>
      <w:r w:rsidR="00652AA7" w:rsidRPr="00652AA7">
        <w:rPr>
          <w:rFonts w:ascii="Arial Narrow" w:hAnsi="Arial Narrow" w:cs="Arial"/>
          <w:b/>
          <w:sz w:val="24"/>
          <w:szCs w:val="24"/>
          <w:u w:val="single"/>
          <w:lang w:val="es-MX"/>
        </w:rPr>
        <w:t xml:space="preserve">Reparto </w:t>
      </w:r>
      <w:r w:rsidR="001E24D4" w:rsidRPr="001E24D4">
        <w:rPr>
          <w:rFonts w:ascii="Arial Narrow" w:hAnsi="Arial Narrow" w:cs="Arial"/>
          <w:b/>
          <w:sz w:val="24"/>
          <w:szCs w:val="24"/>
          <w:u w:val="single"/>
          <w:lang w:val="es-MX"/>
        </w:rPr>
        <w:t>Villa Fontana Norte, de la Rotonda Omar Torrijos, 1c. al Sur, ½ c. al Oeste</w:t>
      </w:r>
      <w:r w:rsidR="00465BB0">
        <w:rPr>
          <w:rFonts w:ascii="Arial Narrow" w:hAnsi="Arial Narrow" w:cs="Arial"/>
          <w:b/>
          <w:sz w:val="24"/>
          <w:szCs w:val="24"/>
          <w:u w:val="single"/>
          <w:lang w:val="es-MX"/>
        </w:rPr>
        <w:t>, casa No. 47</w:t>
      </w:r>
      <w:r w:rsidR="001E24D4" w:rsidRPr="001E24D4">
        <w:rPr>
          <w:rFonts w:ascii="Arial Narrow" w:hAnsi="Arial Narrow" w:cs="Arial"/>
          <w:b/>
          <w:sz w:val="24"/>
          <w:szCs w:val="24"/>
          <w:u w:val="single"/>
          <w:lang w:val="es-MX"/>
        </w:rPr>
        <w:t>.</w:t>
      </w:r>
    </w:p>
    <w:p w14:paraId="17FFC05E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(Si el sobre no indica el concepto de la Licitación y los demás datos solicitados no será recibido)</w:t>
      </w:r>
      <w:r w:rsidR="00883346">
        <w:rPr>
          <w:rFonts w:ascii="Arial Narrow" w:hAnsi="Arial Narrow" w:cs="Arial"/>
          <w:sz w:val="24"/>
          <w:szCs w:val="24"/>
          <w:lang w:val="es-MX"/>
        </w:rPr>
        <w:t>.</w:t>
      </w:r>
    </w:p>
    <w:p w14:paraId="4983A366" w14:textId="1C2471A5" w:rsidR="007E0F60" w:rsidRPr="00E8076A" w:rsidRDefault="007E0F60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MX"/>
        </w:rPr>
        <w:t xml:space="preserve">Si la propuesta económica 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 xml:space="preserve">es </w:t>
      </w:r>
      <w:r>
        <w:rPr>
          <w:rFonts w:ascii="Arial Narrow" w:hAnsi="Arial Narrow" w:cs="Arial"/>
          <w:b/>
          <w:sz w:val="24"/>
          <w:szCs w:val="24"/>
          <w:lang w:val="es-MX"/>
        </w:rPr>
        <w:t>menor</w:t>
      </w:r>
      <w:r w:rsidRPr="007E0F60">
        <w:rPr>
          <w:rFonts w:ascii="Arial Narrow" w:hAnsi="Arial Narrow" w:cs="Arial"/>
          <w:b/>
          <w:sz w:val="24"/>
          <w:szCs w:val="24"/>
          <w:lang w:val="es-MX"/>
        </w:rPr>
        <w:t xml:space="preserve"> a U$10,000.00</w:t>
      </w:r>
      <w:r>
        <w:rPr>
          <w:rFonts w:ascii="Arial Narrow" w:hAnsi="Arial Narrow" w:cs="Arial"/>
          <w:sz w:val="24"/>
          <w:szCs w:val="24"/>
          <w:lang w:val="es-MX"/>
        </w:rPr>
        <w:t xml:space="preserve"> o su equivalente en córdobas, l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a oferta debe ser </w:t>
      </w:r>
      <w:r>
        <w:rPr>
          <w:rFonts w:ascii="Arial Narrow" w:hAnsi="Arial Narrow" w:cs="Arial"/>
          <w:sz w:val="24"/>
          <w:szCs w:val="24"/>
          <w:lang w:val="es-MX"/>
        </w:rPr>
        <w:t xml:space="preserve">enviada por correo electrónico a la dirección </w:t>
      </w:r>
      <w:hyperlink r:id="rId7" w:history="1">
        <w:r w:rsidR="00BB72E7" w:rsidRPr="008256D0">
          <w:rPr>
            <w:rStyle w:val="Hipervnculo"/>
            <w:rFonts w:ascii="Arial Narrow" w:hAnsi="Arial Narrow" w:cs="Arial"/>
            <w:i/>
            <w:iCs/>
            <w:sz w:val="24"/>
            <w:szCs w:val="24"/>
            <w:lang w:val="es-MX"/>
          </w:rPr>
          <w:t>avanegas@nicasalud.org.ni</w:t>
        </w:r>
      </w:hyperlink>
      <w:r>
        <w:rPr>
          <w:rFonts w:ascii="Arial Narrow" w:hAnsi="Arial Narrow" w:cs="Arial"/>
          <w:sz w:val="24"/>
          <w:szCs w:val="24"/>
          <w:lang w:val="es-MX"/>
        </w:rPr>
        <w:t xml:space="preserve"> con atención a Lic. </w:t>
      </w:r>
      <w:r w:rsidR="00E66059">
        <w:rPr>
          <w:rFonts w:ascii="Arial Narrow" w:hAnsi="Arial Narrow" w:cs="Arial"/>
          <w:sz w:val="24"/>
          <w:szCs w:val="24"/>
          <w:lang w:val="es-MX"/>
        </w:rPr>
        <w:t>Ana Lucia Vanegas</w:t>
      </w:r>
      <w:r>
        <w:rPr>
          <w:rFonts w:ascii="Arial Narrow" w:hAnsi="Arial Narrow" w:cs="Arial"/>
          <w:sz w:val="24"/>
          <w:szCs w:val="24"/>
          <w:lang w:val="es-MX"/>
        </w:rPr>
        <w:t xml:space="preserve">.  En el asunto indicar </w:t>
      </w:r>
      <w:r w:rsidRPr="00E8076A">
        <w:rPr>
          <w:rFonts w:ascii="Arial Narrow" w:hAnsi="Arial Narrow" w:cs="Arial"/>
          <w:b/>
          <w:sz w:val="24"/>
          <w:szCs w:val="24"/>
          <w:lang w:val="es-MX"/>
        </w:rPr>
        <w:t>el concepto de la Licitación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Pr="003A7E11">
        <w:rPr>
          <w:rFonts w:ascii="Arial" w:hAnsi="Arial" w:cs="Arial"/>
          <w:b/>
          <w:sz w:val="24"/>
          <w:szCs w:val="24"/>
          <w:lang w:val="es-MX"/>
        </w:rPr>
        <w:t>“</w:t>
      </w:r>
      <w:r w:rsidR="00F653F3">
        <w:rPr>
          <w:rFonts w:ascii="Arial" w:hAnsi="Arial" w:cs="Arial"/>
          <w:b/>
          <w:sz w:val="20"/>
          <w:szCs w:val="20"/>
          <w:lang w:val="es-MX"/>
        </w:rPr>
        <w:t>EQUIPOS DE COMPUTOS DEL COMPONENTE</w:t>
      </w:r>
      <w:r w:rsidR="008256D0">
        <w:rPr>
          <w:rFonts w:ascii="Arial" w:hAnsi="Arial" w:cs="Arial"/>
          <w:b/>
          <w:sz w:val="20"/>
          <w:szCs w:val="20"/>
          <w:lang w:val="es-MX"/>
        </w:rPr>
        <w:t xml:space="preserve"> DE MALARIA </w:t>
      </w:r>
      <w:r w:rsidR="00F653F3">
        <w:rPr>
          <w:rFonts w:ascii="Arial" w:hAnsi="Arial" w:cs="Arial"/>
          <w:b/>
          <w:sz w:val="20"/>
          <w:szCs w:val="20"/>
          <w:lang w:val="es-MX"/>
        </w:rPr>
        <w:t>-</w:t>
      </w:r>
      <w:r w:rsidR="008256D0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F653F3">
        <w:rPr>
          <w:rFonts w:ascii="Arial" w:hAnsi="Arial" w:cs="Arial"/>
          <w:b/>
          <w:sz w:val="20"/>
          <w:szCs w:val="20"/>
          <w:lang w:val="es-MX"/>
        </w:rPr>
        <w:t>NIC-M-REDNICA-4187</w:t>
      </w:r>
      <w:r w:rsidR="00F653F3">
        <w:rPr>
          <w:rFonts w:ascii="Arial Narrow" w:hAnsi="Arial Narrow" w:cs="Arial"/>
          <w:b/>
          <w:sz w:val="24"/>
          <w:szCs w:val="24"/>
          <w:lang w:val="es-MX"/>
        </w:rPr>
        <w:t>,</w:t>
      </w:r>
      <w:r w:rsidRPr="003A7E11">
        <w:rPr>
          <w:rFonts w:ascii="Arial" w:hAnsi="Arial" w:cs="Arial"/>
          <w:b/>
          <w:sz w:val="24"/>
          <w:szCs w:val="24"/>
          <w:lang w:val="es-MX"/>
        </w:rPr>
        <w:t>”</w:t>
      </w:r>
      <w:r>
        <w:rPr>
          <w:rFonts w:ascii="Arial Narrow" w:hAnsi="Arial Narrow" w:cs="Arial"/>
          <w:b/>
          <w:sz w:val="24"/>
          <w:szCs w:val="24"/>
          <w:lang w:val="es-MX"/>
        </w:rPr>
        <w:t xml:space="preserve">.  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Si el </w:t>
      </w:r>
      <w:r>
        <w:rPr>
          <w:rFonts w:ascii="Arial Narrow" w:hAnsi="Arial Narrow" w:cs="Arial"/>
          <w:sz w:val="24"/>
          <w:szCs w:val="24"/>
          <w:lang w:val="es-MX"/>
        </w:rPr>
        <w:t>asunto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no indi</w:t>
      </w:r>
      <w:r>
        <w:rPr>
          <w:rFonts w:ascii="Arial Narrow" w:hAnsi="Arial Narrow" w:cs="Arial"/>
          <w:sz w:val="24"/>
          <w:szCs w:val="24"/>
          <w:lang w:val="es-MX"/>
        </w:rPr>
        <w:t>ca el concepto de la Licitación, no será recibido.</w:t>
      </w:r>
    </w:p>
    <w:p w14:paraId="5A20644F" w14:textId="77777777" w:rsidR="007E31B4" w:rsidRPr="00E8076A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>No se aceptarán ofertas remitidas después de la fecha y hora de recepción establecida.</w:t>
      </w:r>
    </w:p>
    <w:p w14:paraId="27B505E4" w14:textId="77777777" w:rsidR="007E31B4" w:rsidRDefault="007E31B4" w:rsidP="00201B3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Al oferente ganador se le solicitará una </w:t>
      </w:r>
      <w:r w:rsidRPr="002A1B16">
        <w:rPr>
          <w:rFonts w:ascii="Arial Narrow" w:hAnsi="Arial Narrow" w:cs="Arial"/>
          <w:b/>
          <w:sz w:val="24"/>
          <w:szCs w:val="24"/>
          <w:lang w:val="es-MX"/>
        </w:rPr>
        <w:t>garantía de cumplimiento del 7%</w:t>
      </w:r>
      <w:r w:rsidRPr="00E8076A">
        <w:rPr>
          <w:rFonts w:ascii="Arial Narrow" w:hAnsi="Arial Narrow" w:cs="Arial"/>
          <w:sz w:val="24"/>
          <w:szCs w:val="24"/>
          <w:lang w:val="es-MX"/>
        </w:rPr>
        <w:t xml:space="preserve"> del monto total de la oferta.</w:t>
      </w:r>
      <w:r w:rsidR="007E0F60">
        <w:rPr>
          <w:rFonts w:ascii="Arial Narrow" w:hAnsi="Arial Narrow" w:cs="Arial"/>
          <w:sz w:val="24"/>
          <w:szCs w:val="24"/>
          <w:lang w:val="es-MX"/>
        </w:rPr>
        <w:t xml:space="preserve"> Siempre y cuando la oferta económica sea mayor a U$5,000.00 o su equivalente en córdobas.</w:t>
      </w:r>
    </w:p>
    <w:p w14:paraId="66AFB17A" w14:textId="77777777" w:rsidR="002A1B16" w:rsidRDefault="007E31B4" w:rsidP="008741F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2A1B16">
        <w:rPr>
          <w:rFonts w:ascii="Arial Narrow" w:hAnsi="Arial Narrow" w:cs="Arial"/>
          <w:sz w:val="24"/>
          <w:szCs w:val="24"/>
          <w:lang w:val="es-MX"/>
        </w:rPr>
        <w:t>La oferta debe contener toda la información solicitada en las especificaciones técnicas y también información adicional: Precio, condiciones de pago, garant</w:t>
      </w:r>
      <w:r w:rsidR="00980ECE" w:rsidRPr="002A1B16">
        <w:rPr>
          <w:rFonts w:ascii="Arial Narrow" w:hAnsi="Arial Narrow" w:cs="Arial"/>
          <w:sz w:val="24"/>
          <w:szCs w:val="24"/>
          <w:lang w:val="es-MX"/>
        </w:rPr>
        <w:t>í</w:t>
      </w:r>
      <w:r w:rsidRPr="002A1B16">
        <w:rPr>
          <w:rFonts w:ascii="Arial Narrow" w:hAnsi="Arial Narrow" w:cs="Arial"/>
          <w:sz w:val="24"/>
          <w:szCs w:val="24"/>
          <w:lang w:val="es-MX"/>
        </w:rPr>
        <w:t xml:space="preserve">a, </w:t>
      </w:r>
      <w:r w:rsidR="00883346">
        <w:rPr>
          <w:rFonts w:ascii="Arial Narrow" w:hAnsi="Arial Narrow" w:cs="Arial"/>
          <w:sz w:val="24"/>
          <w:szCs w:val="24"/>
          <w:lang w:val="es-MX"/>
        </w:rPr>
        <w:t>tiempo de entrega real.</w:t>
      </w:r>
      <w:r w:rsidRPr="002A1B16">
        <w:rPr>
          <w:rFonts w:ascii="Arial Narrow" w:hAnsi="Arial Narrow" w:cs="Arial"/>
          <w:sz w:val="24"/>
          <w:szCs w:val="24"/>
          <w:lang w:val="es-MX"/>
        </w:rPr>
        <w:t xml:space="preserve"> </w:t>
      </w:r>
    </w:p>
    <w:p w14:paraId="795DC5F1" w14:textId="77777777" w:rsidR="00980ECE" w:rsidRPr="006C0CB6" w:rsidRDefault="00980ECE" w:rsidP="008741F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2A1B16">
        <w:rPr>
          <w:rFonts w:ascii="Arial Narrow" w:hAnsi="Arial Narrow" w:cs="Arial"/>
          <w:sz w:val="24"/>
          <w:szCs w:val="24"/>
          <w:lang w:val="es-MX"/>
        </w:rPr>
        <w:t xml:space="preserve">Al </w:t>
      </w:r>
      <w:r w:rsidR="00513745">
        <w:rPr>
          <w:rFonts w:ascii="Arial Narrow" w:hAnsi="Arial Narrow" w:cs="Arial"/>
          <w:sz w:val="24"/>
          <w:szCs w:val="24"/>
          <w:lang w:val="es-MX"/>
        </w:rPr>
        <w:t>momento de adjudicar la Orden de Compra o Contrato</w:t>
      </w:r>
      <w:r w:rsidRPr="002A1B16">
        <w:rPr>
          <w:rFonts w:ascii="Arial Narrow" w:hAnsi="Arial Narrow" w:cs="Arial"/>
          <w:sz w:val="24"/>
          <w:szCs w:val="24"/>
          <w:lang w:val="es-MX"/>
        </w:rPr>
        <w:t>, el Comprador se reserva el derecho a aumentar o disminuir la cantidad de</w:t>
      </w:r>
      <w:r w:rsidR="00AE0BD1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AE0BD1" w:rsidRPr="006C0CB6">
        <w:rPr>
          <w:rFonts w:ascii="Arial Narrow" w:hAnsi="Arial Narrow" w:cs="Arial"/>
          <w:sz w:val="24"/>
          <w:szCs w:val="24"/>
          <w:lang w:val="es-MX"/>
        </w:rPr>
        <w:t>insumos a adquirir</w:t>
      </w:r>
      <w:r w:rsidRPr="002A1B16">
        <w:rPr>
          <w:rFonts w:ascii="Arial Narrow" w:hAnsi="Arial Narrow" w:cs="Arial"/>
          <w:sz w:val="24"/>
          <w:szCs w:val="24"/>
          <w:lang w:val="es-MX"/>
        </w:rPr>
        <w:t>, siempre y cuando esta variación no altere los precios unitarios u otros términos y condiciones de la oferta.</w:t>
      </w:r>
    </w:p>
    <w:p w14:paraId="4648F4E5" w14:textId="696B9F82" w:rsidR="007E31B4" w:rsidRPr="00465BB0" w:rsidRDefault="007E31B4" w:rsidP="00465BB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 Narrow" w:hAnsi="Arial Narrow" w:cs="Arial"/>
          <w:sz w:val="24"/>
          <w:szCs w:val="24"/>
          <w:lang w:val="es-MX"/>
        </w:rPr>
      </w:pPr>
      <w:r w:rsidRPr="00E8076A">
        <w:rPr>
          <w:rFonts w:ascii="Arial Narrow" w:hAnsi="Arial Narrow" w:cs="Arial"/>
          <w:sz w:val="24"/>
          <w:szCs w:val="24"/>
          <w:lang w:val="es-MX"/>
        </w:rPr>
        <w:t xml:space="preserve">Consultas al correo electrónico: </w:t>
      </w:r>
      <w:hyperlink r:id="rId8" w:history="1">
        <w:r w:rsidR="00E66059" w:rsidRPr="00C04C2D">
          <w:rPr>
            <w:rStyle w:val="Hipervnculo"/>
            <w:rFonts w:ascii="Arial Narrow" w:hAnsi="Arial Narrow" w:cs="Arial"/>
            <w:sz w:val="24"/>
            <w:szCs w:val="24"/>
            <w:lang w:val="es-MX"/>
          </w:rPr>
          <w:t>avanegas@nicasalud.org.ni</w:t>
        </w:r>
      </w:hyperlink>
      <w:r w:rsidR="00E66059">
        <w:rPr>
          <w:rFonts w:ascii="Arial Narrow" w:hAnsi="Arial Narrow" w:cs="Arial"/>
          <w:sz w:val="24"/>
          <w:szCs w:val="24"/>
          <w:lang w:val="es-MX"/>
        </w:rPr>
        <w:t xml:space="preserve"> a más tardar </w:t>
      </w:r>
      <w:r w:rsidR="00513745">
        <w:rPr>
          <w:rFonts w:ascii="Arial Narrow" w:hAnsi="Arial Narrow" w:cs="Arial"/>
          <w:sz w:val="24"/>
          <w:szCs w:val="24"/>
          <w:lang w:val="es-MX"/>
        </w:rPr>
        <w:t>el</w:t>
      </w:r>
      <w:r w:rsidR="00F466E6">
        <w:rPr>
          <w:rFonts w:ascii="Arial Narrow" w:hAnsi="Arial Narrow" w:cs="Arial"/>
          <w:sz w:val="24"/>
          <w:szCs w:val="24"/>
          <w:lang w:val="es-MX"/>
        </w:rPr>
        <w:t xml:space="preserve"> martes</w:t>
      </w:r>
      <w:r w:rsidR="00C6148A" w:rsidRPr="00C6148A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F466E6">
        <w:rPr>
          <w:rFonts w:ascii="Arial Narrow" w:hAnsi="Arial Narrow" w:cs="Arial"/>
          <w:b/>
          <w:sz w:val="24"/>
          <w:szCs w:val="24"/>
          <w:lang w:val="es-MX"/>
        </w:rPr>
        <w:t>16</w:t>
      </w:r>
      <w:r w:rsidR="00883346" w:rsidRPr="00C6148A">
        <w:rPr>
          <w:rFonts w:ascii="Arial Narrow" w:hAnsi="Arial Narrow" w:cs="Arial"/>
          <w:b/>
          <w:sz w:val="24"/>
          <w:szCs w:val="24"/>
          <w:lang w:val="es-MX"/>
        </w:rPr>
        <w:t xml:space="preserve"> </w:t>
      </w:r>
      <w:r w:rsidR="00513745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 xml:space="preserve">de </w:t>
      </w:r>
      <w:r w:rsidR="00F466E6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>junio</w:t>
      </w:r>
      <w:r w:rsidR="00513745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 xml:space="preserve"> del </w:t>
      </w:r>
      <w:r w:rsidR="00C6148A" w:rsidRPr="00C6148A">
        <w:rPr>
          <w:rFonts w:ascii="Arial Narrow" w:hAnsi="Arial Narrow" w:cs="Arial"/>
          <w:b/>
          <w:color w:val="000000" w:themeColor="text1"/>
          <w:sz w:val="24"/>
          <w:szCs w:val="24"/>
          <w:lang w:val="es-MX"/>
        </w:rPr>
        <w:t>2025</w:t>
      </w:r>
      <w:r w:rsidR="00C6148A" w:rsidRPr="006C0CB6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>.</w:t>
      </w:r>
      <w:r w:rsidRPr="006C0CB6">
        <w:rPr>
          <w:rFonts w:ascii="Arial Narrow" w:hAnsi="Arial Narrow" w:cs="Arial"/>
          <w:color w:val="000000" w:themeColor="text1"/>
          <w:sz w:val="24"/>
          <w:szCs w:val="24"/>
          <w:lang w:val="es-MX"/>
        </w:rPr>
        <w:t xml:space="preserve"> </w:t>
      </w:r>
      <w:r w:rsidRPr="006C0CB6">
        <w:rPr>
          <w:rFonts w:ascii="Arial Narrow" w:hAnsi="Arial Narrow" w:cs="Arial"/>
          <w:sz w:val="24"/>
          <w:szCs w:val="24"/>
          <w:lang w:val="es-MX"/>
        </w:rPr>
        <w:t>No se aceptarán consultas después de la fecha establecida.</w:t>
      </w:r>
    </w:p>
    <w:p w14:paraId="77E7D027" w14:textId="77777777" w:rsidR="007E31B4" w:rsidRPr="00827A1C" w:rsidRDefault="007E31B4" w:rsidP="00201B3A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4"/>
          <w:szCs w:val="24"/>
          <w:lang w:val="es-MX"/>
        </w:rPr>
      </w:pPr>
      <w:r w:rsidRPr="00827A1C">
        <w:rPr>
          <w:rFonts w:ascii="Arial Narrow" w:hAnsi="Arial Narrow"/>
          <w:b/>
          <w:sz w:val="24"/>
          <w:szCs w:val="24"/>
          <w:u w:val="single"/>
          <w:lang w:val="es-MX"/>
        </w:rPr>
        <w:t>Recomendación general.</w:t>
      </w:r>
      <w:r w:rsidRPr="00827A1C">
        <w:rPr>
          <w:rFonts w:ascii="Arial Narrow" w:hAnsi="Arial Narrow"/>
          <w:sz w:val="24"/>
          <w:szCs w:val="24"/>
          <w:lang w:val="es-MX"/>
        </w:rPr>
        <w:t xml:space="preserve"> </w:t>
      </w:r>
      <w:r w:rsidRPr="00827A1C">
        <w:rPr>
          <w:rFonts w:ascii="Arial Narrow" w:hAnsi="Arial Narrow"/>
          <w:color w:val="000000" w:themeColor="text1"/>
          <w:sz w:val="24"/>
          <w:szCs w:val="24"/>
          <w:u w:val="single"/>
          <w:lang w:val="es-MX"/>
        </w:rPr>
        <w:t>Se recomienda a las empresas</w:t>
      </w:r>
      <w:r w:rsidR="00652AA7" w:rsidRPr="00827A1C">
        <w:rPr>
          <w:rFonts w:ascii="Arial Narrow" w:hAnsi="Arial Narrow"/>
          <w:color w:val="000000" w:themeColor="text1"/>
          <w:sz w:val="24"/>
          <w:szCs w:val="24"/>
          <w:u w:val="single"/>
          <w:lang w:val="es-MX"/>
        </w:rPr>
        <w:t>/oferentes interesado</w:t>
      </w:r>
      <w:r w:rsidRPr="00827A1C">
        <w:rPr>
          <w:rFonts w:ascii="Arial Narrow" w:hAnsi="Arial Narrow"/>
          <w:color w:val="000000" w:themeColor="text1"/>
          <w:sz w:val="24"/>
          <w:szCs w:val="24"/>
          <w:u w:val="single"/>
          <w:lang w:val="es-MX"/>
        </w:rPr>
        <w:t>s en presentar Ofertas, revisar cuidadosamente las condiciones y especificaciones técnicas, para evitar omisiones que pudieran descalificarlos, invalidarlos o excluirlos.</w:t>
      </w:r>
      <w:r w:rsidRPr="00827A1C">
        <w:rPr>
          <w:rFonts w:ascii="Arial Narrow" w:hAnsi="Arial Narrow"/>
          <w:color w:val="000000" w:themeColor="text1"/>
          <w:sz w:val="24"/>
          <w:szCs w:val="24"/>
          <w:lang w:val="es-MX"/>
        </w:rPr>
        <w:t xml:space="preserve"> </w:t>
      </w:r>
    </w:p>
    <w:p w14:paraId="46C9127F" w14:textId="77777777" w:rsidR="004333AE" w:rsidRDefault="004333AE" w:rsidP="004333AE">
      <w:pPr>
        <w:pStyle w:val="Sinespaciado"/>
        <w:jc w:val="both"/>
        <w:rPr>
          <w:rFonts w:ascii="Arial Narrow" w:hAnsi="Arial Narrow"/>
          <w:sz w:val="24"/>
          <w:szCs w:val="24"/>
          <w:lang w:val="es-MX"/>
        </w:rPr>
      </w:pPr>
    </w:p>
    <w:p w14:paraId="132955A4" w14:textId="77777777" w:rsidR="00C603DE" w:rsidRDefault="00071519" w:rsidP="00201B3A">
      <w:pPr>
        <w:pStyle w:val="Sinespaciad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 xml:space="preserve">Documentos adicionales para presentar Oferta:  </w:t>
      </w:r>
    </w:p>
    <w:p w14:paraId="33C73697" w14:textId="3299A826" w:rsidR="00C603DE" w:rsidRDefault="00980ECE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lastRenderedPageBreak/>
        <w:t>Si l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a empresa/oferente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es 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una entidad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nacional, 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deberá anexar en su oferta 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una fotocopia simple del </w:t>
      </w:r>
      <w:r w:rsidR="00071519" w:rsidRPr="00561910">
        <w:rPr>
          <w:rFonts w:ascii="Arial Narrow" w:hAnsi="Arial Narrow"/>
          <w:b/>
          <w:color w:val="000099"/>
          <w:sz w:val="24"/>
          <w:szCs w:val="24"/>
          <w:lang w:val="es-MX"/>
        </w:rPr>
        <w:t>Testimonio/Escritura de Constitución de la empresa o sociedad</w:t>
      </w:r>
      <w:r w:rsidR="00E949EB" w:rsidRPr="00561910">
        <w:rPr>
          <w:rFonts w:ascii="Arial Narrow" w:hAnsi="Arial Narrow"/>
          <w:color w:val="000099"/>
          <w:sz w:val="24"/>
          <w:szCs w:val="24"/>
          <w:lang w:val="es-MX"/>
        </w:rPr>
        <w:t xml:space="preserve">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el documento equivalente para entidades extranjeras, registradas en las instancias correspondientes</w:t>
      </w:r>
      <w:r w:rsidR="008517A8">
        <w:rPr>
          <w:rFonts w:ascii="Arial Narrow" w:hAnsi="Arial Narrow"/>
          <w:sz w:val="24"/>
          <w:szCs w:val="24"/>
          <w:lang w:val="es-MX"/>
        </w:rPr>
        <w:t>.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7C8619AA" w14:textId="77777777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>C</w:t>
      </w:r>
      <w:r w:rsidR="00652AA7" w:rsidRPr="00102145">
        <w:rPr>
          <w:rFonts w:ascii="Arial Narrow" w:hAnsi="Arial Narrow"/>
          <w:sz w:val="24"/>
          <w:szCs w:val="24"/>
          <w:lang w:val="es-MX"/>
        </w:rPr>
        <w:t xml:space="preserve">opia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simple </w:t>
      </w:r>
      <w:r w:rsidR="00652AA7" w:rsidRPr="00102145">
        <w:rPr>
          <w:rFonts w:ascii="Arial Narrow" w:hAnsi="Arial Narrow"/>
          <w:sz w:val="24"/>
          <w:szCs w:val="24"/>
          <w:lang w:val="es-MX"/>
        </w:rPr>
        <w:t>de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Pr="00561910">
        <w:rPr>
          <w:rFonts w:ascii="Arial Narrow" w:hAnsi="Arial Narrow"/>
          <w:b/>
          <w:color w:val="000099"/>
          <w:sz w:val="24"/>
          <w:szCs w:val="24"/>
          <w:lang w:val="es-MX"/>
        </w:rPr>
        <w:t>Testimonio/</w:t>
      </w:r>
      <w:r w:rsidR="00071519" w:rsidRPr="00561910">
        <w:rPr>
          <w:rFonts w:ascii="Arial Narrow" w:hAnsi="Arial Narrow"/>
          <w:b/>
          <w:color w:val="000099"/>
          <w:sz w:val="24"/>
          <w:szCs w:val="24"/>
          <w:lang w:val="es-MX"/>
        </w:rPr>
        <w:t>Escritura</w:t>
      </w:r>
      <w:r w:rsidRPr="00561910">
        <w:rPr>
          <w:rFonts w:ascii="Arial Narrow" w:hAnsi="Arial Narrow"/>
          <w:b/>
          <w:color w:val="000099"/>
          <w:sz w:val="24"/>
          <w:szCs w:val="24"/>
          <w:lang w:val="es-MX"/>
        </w:rPr>
        <w:t xml:space="preserve"> de Poder Generalísimo de Representante Legal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actualizado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Pr="00102145">
        <w:rPr>
          <w:rFonts w:ascii="Arial Narrow" w:hAnsi="Arial Narrow"/>
          <w:sz w:val="24"/>
          <w:szCs w:val="24"/>
          <w:lang w:val="es-NI"/>
        </w:rPr>
        <w:t>el documento equivalente para entidades extranjeras, con facultades expresas para presentar Ofertas, negociar y firmar contratos a nombre de la empresa, registrada en las instancias correspondientes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; </w:t>
      </w:r>
    </w:p>
    <w:p w14:paraId="3F9394A8" w14:textId="6A6E056B" w:rsidR="00C603DE" w:rsidRDefault="00E949EB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102145">
        <w:rPr>
          <w:rFonts w:ascii="Arial Narrow" w:hAnsi="Arial Narrow"/>
          <w:sz w:val="24"/>
          <w:szCs w:val="24"/>
          <w:lang w:val="es-MX"/>
        </w:rPr>
        <w:t xml:space="preserve">Copia simple de </w:t>
      </w:r>
      <w:r w:rsidRPr="00A87E34">
        <w:rPr>
          <w:rFonts w:ascii="Arial Narrow" w:hAnsi="Arial Narrow"/>
          <w:b/>
          <w:color w:val="000099"/>
          <w:sz w:val="24"/>
          <w:szCs w:val="24"/>
          <w:lang w:val="es-MX"/>
        </w:rPr>
        <w:t>Cédula de identidad</w:t>
      </w:r>
      <w:r w:rsidR="001C678D">
        <w:rPr>
          <w:rFonts w:ascii="Arial Narrow" w:hAnsi="Arial Narrow"/>
          <w:b/>
          <w:color w:val="000099"/>
          <w:sz w:val="24"/>
          <w:szCs w:val="24"/>
          <w:lang w:val="es-MX"/>
        </w:rPr>
        <w:t xml:space="preserve"> vigente</w:t>
      </w:r>
      <w:r w:rsidRPr="00A87E34">
        <w:rPr>
          <w:rFonts w:ascii="Arial Narrow" w:hAnsi="Arial Narrow"/>
          <w:color w:val="000099"/>
          <w:sz w:val="24"/>
          <w:szCs w:val="24"/>
          <w:lang w:val="es-MX"/>
        </w:rPr>
        <w:t xml:space="preserve"> 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de Representante Legal </w:t>
      </w:r>
      <w:r w:rsidR="0051601C" w:rsidRPr="00102145">
        <w:rPr>
          <w:rFonts w:ascii="Arial Narrow" w:hAnsi="Arial Narrow"/>
          <w:sz w:val="24"/>
          <w:szCs w:val="24"/>
          <w:lang w:val="es-MX"/>
        </w:rPr>
        <w:t>o</w:t>
      </w:r>
      <w:r w:rsidRPr="00102145">
        <w:rPr>
          <w:rFonts w:ascii="Arial Narrow" w:hAnsi="Arial Narrow"/>
          <w:sz w:val="24"/>
          <w:szCs w:val="24"/>
          <w:lang w:val="es-MX"/>
        </w:rPr>
        <w:t xml:space="preserve"> documento equivalente para representantes extranjeros; </w:t>
      </w:r>
    </w:p>
    <w:p w14:paraId="1BBABB4A" w14:textId="77777777" w:rsidR="00C603DE" w:rsidRDefault="00C603DE" w:rsidP="00C603DE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MX"/>
        </w:rPr>
        <w:t>C</w:t>
      </w:r>
      <w:r w:rsidR="00E949EB" w:rsidRPr="00102145">
        <w:rPr>
          <w:rFonts w:ascii="Arial Narrow" w:hAnsi="Arial Narrow"/>
          <w:sz w:val="24"/>
          <w:szCs w:val="24"/>
          <w:lang w:val="es-MX"/>
        </w:rPr>
        <w:t>opia de</w:t>
      </w:r>
      <w:r w:rsidR="00071519" w:rsidRPr="00102145">
        <w:rPr>
          <w:rFonts w:ascii="Arial Narrow" w:hAnsi="Arial Narrow"/>
          <w:sz w:val="24"/>
          <w:szCs w:val="24"/>
          <w:lang w:val="es-MX"/>
        </w:rPr>
        <w:t xml:space="preserve"> </w:t>
      </w:r>
      <w:r w:rsidR="00652AA7" w:rsidRPr="00A87E34">
        <w:rPr>
          <w:rFonts w:ascii="Arial Narrow" w:hAnsi="Arial Narrow"/>
          <w:b/>
          <w:color w:val="000099"/>
          <w:sz w:val="24"/>
          <w:szCs w:val="24"/>
          <w:lang w:val="es-MX"/>
        </w:rPr>
        <w:t>Cédula RUC vigente y solvencia fiscal vigente</w:t>
      </w:r>
      <w:r w:rsidR="00E949EB" w:rsidRPr="00A87E34">
        <w:rPr>
          <w:rFonts w:ascii="Arial Narrow" w:hAnsi="Arial Narrow"/>
          <w:color w:val="000099"/>
          <w:sz w:val="24"/>
          <w:szCs w:val="24"/>
          <w:lang w:val="es-MX"/>
        </w:rPr>
        <w:t xml:space="preserve"> 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al momento de presentar la Oferta </w:t>
      </w:r>
      <w:r w:rsidR="00E949EB" w:rsidRPr="00102145">
        <w:rPr>
          <w:rFonts w:ascii="Arial Narrow" w:hAnsi="Arial Narrow"/>
          <w:sz w:val="24"/>
          <w:szCs w:val="24"/>
          <w:lang w:val="es-NI"/>
        </w:rPr>
        <w:t>o el documento equivalente para entidades extranjeras, registradas en las instancias correspondientes;</w:t>
      </w:r>
      <w:r w:rsidR="00E949EB" w:rsidRPr="00102145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3F33095B" w14:textId="77777777" w:rsidR="00303732" w:rsidRPr="00303732" w:rsidRDefault="00E949EB" w:rsidP="001F2C18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303732">
        <w:rPr>
          <w:rFonts w:ascii="Arial Narrow" w:hAnsi="Arial Narrow"/>
          <w:sz w:val="24"/>
          <w:szCs w:val="24"/>
          <w:lang w:val="es-MX"/>
        </w:rPr>
        <w:t>Oferente nacional debe g</w:t>
      </w:r>
      <w:r w:rsidR="00652AA7" w:rsidRPr="00303732">
        <w:rPr>
          <w:rFonts w:ascii="Arial Narrow" w:hAnsi="Arial Narrow"/>
          <w:sz w:val="24"/>
          <w:szCs w:val="24"/>
          <w:lang w:val="es-MX"/>
        </w:rPr>
        <w:t>arantizar el uso de factura</w:t>
      </w:r>
      <w:r w:rsidR="00BD66B4" w:rsidRPr="00303732">
        <w:rPr>
          <w:rFonts w:ascii="Arial Narrow" w:hAnsi="Arial Narrow"/>
          <w:sz w:val="24"/>
          <w:szCs w:val="24"/>
          <w:lang w:val="es-MX"/>
        </w:rPr>
        <w:t xml:space="preserve"> y recibo oficial de caja con la debida autorización de la DGI en </w:t>
      </w:r>
      <w:r w:rsidR="00652AA7" w:rsidRPr="001F2C18">
        <w:rPr>
          <w:rFonts w:ascii="Arial Narrow" w:hAnsi="Arial Narrow"/>
          <w:b/>
          <w:color w:val="000099"/>
          <w:sz w:val="24"/>
          <w:szCs w:val="24"/>
          <w:lang w:val="es-MX"/>
        </w:rPr>
        <w:t xml:space="preserve">pie de </w:t>
      </w:r>
      <w:r w:rsidR="00BD66B4" w:rsidRPr="001F2C18">
        <w:rPr>
          <w:rFonts w:ascii="Arial Narrow" w:hAnsi="Arial Narrow"/>
          <w:b/>
          <w:color w:val="000099"/>
          <w:sz w:val="24"/>
          <w:szCs w:val="24"/>
          <w:lang w:val="es-MX"/>
        </w:rPr>
        <w:t>imprenta.</w:t>
      </w:r>
      <w:r w:rsidR="00BD66B4" w:rsidRPr="001F2C18">
        <w:rPr>
          <w:rFonts w:ascii="Arial Narrow" w:hAnsi="Arial Narrow"/>
          <w:sz w:val="24"/>
          <w:szCs w:val="24"/>
          <w:lang w:val="es-MX"/>
        </w:rPr>
        <w:t xml:space="preserve"> </w:t>
      </w:r>
    </w:p>
    <w:p w14:paraId="4B1D3FC8" w14:textId="2B9EF83F" w:rsidR="00980ECE" w:rsidRPr="00303732" w:rsidRDefault="00303732" w:rsidP="001F2C18">
      <w:pPr>
        <w:pStyle w:val="Sinespaciado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  <w:lang w:val="es-MX"/>
        </w:rPr>
      </w:pPr>
      <w:r w:rsidRPr="00303732">
        <w:rPr>
          <w:rFonts w:ascii="Arial Narrow" w:hAnsi="Arial Narrow"/>
          <w:sz w:val="24"/>
          <w:szCs w:val="24"/>
          <w:lang w:val="es-MX"/>
        </w:rPr>
        <w:t xml:space="preserve">Si la Empresa está en el régimen de No Retención, ante el ente regulador de </w:t>
      </w:r>
      <w:r w:rsidR="004A1E19" w:rsidRPr="00303732">
        <w:rPr>
          <w:rFonts w:ascii="Arial Narrow" w:hAnsi="Arial Narrow"/>
          <w:sz w:val="24"/>
          <w:szCs w:val="24"/>
          <w:lang w:val="es-MX"/>
        </w:rPr>
        <w:t>la Dirección</w:t>
      </w:r>
      <w:r w:rsidRPr="00303732">
        <w:rPr>
          <w:rFonts w:ascii="Arial Narrow" w:hAnsi="Arial Narrow"/>
          <w:sz w:val="24"/>
          <w:szCs w:val="24"/>
          <w:lang w:val="es-MX"/>
        </w:rPr>
        <w:t xml:space="preserve"> General de Ingresos (DGI) </w:t>
      </w:r>
      <w:r w:rsidRPr="001F2C18">
        <w:rPr>
          <w:rFonts w:ascii="Arial Narrow" w:hAnsi="Arial Narrow"/>
          <w:b/>
          <w:color w:val="000099"/>
          <w:sz w:val="24"/>
          <w:szCs w:val="24"/>
          <w:lang w:val="es-MX"/>
        </w:rPr>
        <w:t xml:space="preserve">adjuntar </w:t>
      </w:r>
      <w:r w:rsidR="004A1E19" w:rsidRPr="001F2C18">
        <w:rPr>
          <w:rFonts w:ascii="Arial Narrow" w:hAnsi="Arial Narrow"/>
          <w:b/>
          <w:color w:val="000099"/>
          <w:sz w:val="24"/>
          <w:szCs w:val="24"/>
          <w:lang w:val="es-MX"/>
        </w:rPr>
        <w:t>constancia Vigente</w:t>
      </w:r>
      <w:r w:rsidRPr="001F2C18">
        <w:rPr>
          <w:rFonts w:ascii="Arial Narrow" w:hAnsi="Arial Narrow"/>
          <w:b/>
          <w:color w:val="000099"/>
          <w:sz w:val="24"/>
          <w:szCs w:val="24"/>
          <w:lang w:val="es-MX"/>
        </w:rPr>
        <w:t xml:space="preserve"> de No Retención</w:t>
      </w:r>
      <w:r w:rsidR="005E0436" w:rsidRPr="001F2C18">
        <w:rPr>
          <w:rFonts w:ascii="Arial Narrow" w:hAnsi="Arial Narrow"/>
          <w:b/>
          <w:color w:val="000099"/>
          <w:sz w:val="24"/>
          <w:szCs w:val="24"/>
          <w:lang w:val="es-MX"/>
        </w:rPr>
        <w:t>.</w:t>
      </w:r>
    </w:p>
    <w:p w14:paraId="1E0251BC" w14:textId="77777777" w:rsidR="00303732" w:rsidRPr="00F80531" w:rsidRDefault="00303732" w:rsidP="00201B3A">
      <w:pPr>
        <w:pStyle w:val="Sinespaciado"/>
        <w:ind w:left="360"/>
        <w:jc w:val="both"/>
        <w:rPr>
          <w:rFonts w:ascii="Arial Narrow" w:hAnsi="Arial Narrow"/>
          <w:sz w:val="24"/>
          <w:szCs w:val="24"/>
          <w:highlight w:val="cyan"/>
          <w:lang w:val="es-MX"/>
        </w:rPr>
      </w:pPr>
    </w:p>
    <w:p w14:paraId="3C24AB02" w14:textId="77777777" w:rsidR="007E31B4" w:rsidRDefault="007E31B4" w:rsidP="00201B3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  <w:r w:rsidRPr="00E8076A">
        <w:rPr>
          <w:rFonts w:ascii="Arial Narrow" w:hAnsi="Arial Narrow" w:cs="Arial"/>
          <w:b/>
          <w:color w:val="000000"/>
          <w:sz w:val="24"/>
          <w:szCs w:val="24"/>
          <w:lang w:eastAsia="es-ES"/>
        </w:rPr>
        <w:t xml:space="preserve">CÓDIGO DE CONDUCTA: </w:t>
      </w:r>
      <w:r w:rsidRPr="00E8076A">
        <w:rPr>
          <w:rFonts w:ascii="Arial Narrow" w:hAnsi="Arial Narrow" w:cs="Arial"/>
          <w:color w:val="000000"/>
          <w:sz w:val="24"/>
          <w:szCs w:val="24"/>
          <w:lang w:eastAsia="es-ES"/>
        </w:rPr>
        <w:t>El Proveedor deberá dar estricto cumplimiento al “Código de Conducta para proveedores” del Fondo Mundial, adjunto a la presente convocatoria</w:t>
      </w:r>
      <w:r w:rsidR="00AE0BD1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, </w:t>
      </w:r>
      <w:r w:rsidR="00AE0BD1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 xml:space="preserve">por lo que se solicita a los participantes adjuntarlo a su propuesta debidamente firmado en aceptación </w:t>
      </w:r>
      <w:r w:rsidR="00B62A1F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>a su compromiso de cumpli</w:t>
      </w:r>
      <w:r w:rsidR="002E7E83" w:rsidRPr="006C0CB6">
        <w:rPr>
          <w:rFonts w:ascii="Arial Narrow" w:hAnsi="Arial Narrow" w:cs="Arial"/>
          <w:color w:val="000000"/>
          <w:sz w:val="24"/>
          <w:szCs w:val="24"/>
          <w:lang w:eastAsia="es-ES"/>
        </w:rPr>
        <w:t>r con lo establecido en dicho Código</w:t>
      </w:r>
      <w:r w:rsidRPr="00E8076A">
        <w:rPr>
          <w:rFonts w:ascii="Arial Narrow" w:hAnsi="Arial Narrow" w:cs="Arial"/>
          <w:color w:val="000000"/>
          <w:sz w:val="24"/>
          <w:szCs w:val="24"/>
          <w:lang w:eastAsia="es-ES"/>
        </w:rPr>
        <w:t>. Si se evidencia que el proveedor incurre en alguna de las faltas descritas en el referido Código, se rechazará de inmediato su propuesta.</w:t>
      </w:r>
    </w:p>
    <w:p w14:paraId="24163F81" w14:textId="77777777" w:rsidR="00482DB0" w:rsidRDefault="00482DB0" w:rsidP="00201B3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  <w:lang w:eastAsia="es-ES"/>
        </w:rPr>
      </w:pPr>
    </w:p>
    <w:p w14:paraId="4316BE6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A75836C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2D6D0AB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1916626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C7FDD3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7E7EE702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43059C96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B933EB7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2E47BEA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2230465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9DBFFF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22E61EC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8AEE9FA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FBB19A8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7A1235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3C8957B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2EE53E4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1DEC4DD7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4FED22D5" w14:textId="77777777" w:rsidR="003D573D" w:rsidRDefault="003D573D" w:rsidP="005563A3">
      <w:pPr>
        <w:jc w:val="center"/>
        <w:rPr>
          <w:rFonts w:ascii="Arial Narrow" w:hAnsi="Arial Narrow"/>
          <w:b/>
          <w:u w:val="single"/>
        </w:rPr>
      </w:pPr>
    </w:p>
    <w:p w14:paraId="0D63EA8F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67990BE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3E27D2A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4E3E858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52AEBE2E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107C5591" w14:textId="77777777" w:rsidR="00A20239" w:rsidRDefault="00A20239" w:rsidP="005563A3">
      <w:pPr>
        <w:jc w:val="center"/>
        <w:rPr>
          <w:rFonts w:ascii="Arial Narrow" w:hAnsi="Arial Narrow"/>
          <w:b/>
          <w:u w:val="single"/>
        </w:rPr>
      </w:pPr>
    </w:p>
    <w:p w14:paraId="0EE48DA3" w14:textId="1A98A981" w:rsidR="0015589A" w:rsidRPr="002070E5" w:rsidRDefault="0015589A" w:rsidP="0015589A">
      <w:pPr>
        <w:jc w:val="center"/>
        <w:rPr>
          <w:rFonts w:ascii="Arial Narrow" w:hAnsi="Arial Narrow"/>
          <w:b/>
          <w:u w:val="single"/>
        </w:rPr>
      </w:pPr>
      <w:r w:rsidRPr="002070E5">
        <w:rPr>
          <w:rFonts w:ascii="Arial Narrow" w:hAnsi="Arial Narrow"/>
          <w:b/>
          <w:u w:val="single"/>
        </w:rPr>
        <w:t xml:space="preserve">ESPECIFICACIONES TECNICAS – </w:t>
      </w:r>
      <w:r w:rsidR="003D573D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COMPUTAD</w:t>
      </w:r>
      <w:r w:rsidR="000A065B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ORA DE ESCRITORIOS</w:t>
      </w:r>
      <w:r w:rsidR="002A699D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 xml:space="preserve"> Y ACCESORIOS</w:t>
      </w:r>
      <w:r w:rsidRPr="005D1A6B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:</w:t>
      </w:r>
    </w:p>
    <w:tbl>
      <w:tblPr>
        <w:tblpPr w:leftFromText="141" w:rightFromText="141" w:vertAnchor="text" w:horzAnchor="margin" w:tblpY="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08"/>
        <w:gridCol w:w="2268"/>
        <w:gridCol w:w="1701"/>
      </w:tblGrid>
      <w:tr w:rsidR="0015589A" w:rsidRPr="00C6148A" w14:paraId="59A16DFF" w14:textId="77777777" w:rsidTr="0015511B">
        <w:trPr>
          <w:trHeight w:val="47"/>
          <w:tblHeader/>
        </w:trPr>
        <w:tc>
          <w:tcPr>
            <w:tcW w:w="590" w:type="dxa"/>
            <w:shd w:val="clear" w:color="000000" w:fill="DAE9F8"/>
            <w:noWrap/>
            <w:vAlign w:val="center"/>
            <w:hideMark/>
          </w:tcPr>
          <w:p w14:paraId="711A4EE6" w14:textId="77777777" w:rsidR="0015589A" w:rsidRPr="00C6148A" w:rsidRDefault="0015589A" w:rsidP="00FA3C8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bookmarkStart w:id="0" w:name="_Hlk215669694"/>
            <w:proofErr w:type="spellStart"/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Item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s</w:t>
            </w:r>
            <w:proofErr w:type="spellEnd"/>
          </w:p>
        </w:tc>
        <w:tc>
          <w:tcPr>
            <w:tcW w:w="4508" w:type="dxa"/>
            <w:shd w:val="clear" w:color="000000" w:fill="DAE9F8"/>
            <w:vAlign w:val="center"/>
          </w:tcPr>
          <w:p w14:paraId="1951BF99" w14:textId="77777777" w:rsidR="0015589A" w:rsidRPr="00C6148A" w:rsidRDefault="0015589A" w:rsidP="00FA3C8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Descripción</w:t>
            </w:r>
          </w:p>
        </w:tc>
        <w:tc>
          <w:tcPr>
            <w:tcW w:w="2268" w:type="dxa"/>
            <w:shd w:val="clear" w:color="000000" w:fill="DAE9F8"/>
            <w:vAlign w:val="center"/>
            <w:hideMark/>
          </w:tcPr>
          <w:p w14:paraId="703015BD" w14:textId="77777777" w:rsidR="0015589A" w:rsidRPr="00C6148A" w:rsidRDefault="0015589A" w:rsidP="00FA3C8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Unidad Medida</w:t>
            </w:r>
          </w:p>
        </w:tc>
        <w:tc>
          <w:tcPr>
            <w:tcW w:w="1701" w:type="dxa"/>
            <w:shd w:val="clear" w:color="000000" w:fill="DAE9F8"/>
            <w:noWrap/>
            <w:vAlign w:val="center"/>
            <w:hideMark/>
          </w:tcPr>
          <w:p w14:paraId="7FBEE699" w14:textId="77777777" w:rsidR="0015589A" w:rsidRPr="00C6148A" w:rsidRDefault="0015589A" w:rsidP="00FA3C8F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Cantidad</w:t>
            </w:r>
          </w:p>
        </w:tc>
      </w:tr>
      <w:tr w:rsidR="0015589A" w:rsidRPr="00C6148A" w14:paraId="29FF2267" w14:textId="77777777" w:rsidTr="00FA3C8F">
        <w:trPr>
          <w:trHeight w:val="314"/>
        </w:trPr>
        <w:tc>
          <w:tcPr>
            <w:tcW w:w="590" w:type="dxa"/>
            <w:noWrap/>
            <w:vAlign w:val="center"/>
          </w:tcPr>
          <w:p w14:paraId="2105B791" w14:textId="77777777" w:rsidR="0015589A" w:rsidRPr="00C6148A" w:rsidRDefault="0015589A" w:rsidP="00FA3C8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1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70AE1" w14:textId="77777777" w:rsidR="0025614B" w:rsidRDefault="0025614B" w:rsidP="0025614B">
            <w:pPr>
              <w:jc w:val="both"/>
            </w:pPr>
            <w:r w:rsidRPr="00D81EC8">
              <w:rPr>
                <w:b/>
                <w:bCs/>
              </w:rPr>
              <w:t>Diseño:</w:t>
            </w:r>
            <w:r>
              <w:t xml:space="preserve"> Small Form Factor</w:t>
            </w:r>
          </w:p>
          <w:p w14:paraId="23695419" w14:textId="77777777" w:rsidR="0025614B" w:rsidRDefault="0025614B" w:rsidP="0025614B">
            <w:pPr>
              <w:jc w:val="both"/>
            </w:pPr>
            <w:r w:rsidRPr="00772480">
              <w:rPr>
                <w:b/>
                <w:bCs/>
              </w:rPr>
              <w:t>Procesador:</w:t>
            </w:r>
            <w:r>
              <w:t xml:space="preserve"> Intel Core i5 14va Generación.</w:t>
            </w:r>
          </w:p>
          <w:p w14:paraId="1ACC0E50" w14:textId="77777777" w:rsidR="0025614B" w:rsidRDefault="0025614B" w:rsidP="0025614B">
            <w:pPr>
              <w:jc w:val="both"/>
            </w:pPr>
            <w:r w:rsidRPr="00D81EC8">
              <w:rPr>
                <w:b/>
                <w:bCs/>
              </w:rPr>
              <w:t>Velocidad de reloj del procesador con turbo:</w:t>
            </w:r>
            <w:r>
              <w:t xml:space="preserve"> 5.0 GHz </w:t>
            </w:r>
            <w:proofErr w:type="spellStart"/>
            <w:r>
              <w:t>ó</w:t>
            </w:r>
            <w:proofErr w:type="spellEnd"/>
            <w:r>
              <w:t xml:space="preserve"> Superior </w:t>
            </w:r>
          </w:p>
          <w:p w14:paraId="214DD4A1" w14:textId="77777777" w:rsidR="0025614B" w:rsidRPr="004562A4" w:rsidRDefault="0025614B" w:rsidP="0025614B">
            <w:pPr>
              <w:jc w:val="both"/>
              <w:rPr>
                <w:lang w:val="pt-BR"/>
              </w:rPr>
            </w:pPr>
            <w:r w:rsidRPr="00D81EC8">
              <w:rPr>
                <w:b/>
                <w:bCs/>
                <w:lang w:val="pt-BR"/>
              </w:rPr>
              <w:t>Memoria RAM:</w:t>
            </w:r>
            <w:r w:rsidRPr="004562A4">
              <w:rPr>
                <w:lang w:val="pt-BR"/>
              </w:rPr>
              <w:t xml:space="preserve"> 16 GB (1x16GB) DDR5 </w:t>
            </w:r>
          </w:p>
          <w:p w14:paraId="41E2D57E" w14:textId="77777777" w:rsidR="0025614B" w:rsidRPr="0025614B" w:rsidRDefault="0025614B" w:rsidP="0025614B">
            <w:pPr>
              <w:jc w:val="both"/>
              <w:rPr>
                <w:lang w:val="pt-BR"/>
              </w:rPr>
            </w:pPr>
            <w:r w:rsidRPr="00D81EC8">
              <w:rPr>
                <w:b/>
                <w:bCs/>
                <w:lang w:val="pt-BR"/>
              </w:rPr>
              <w:t>Interfaces:</w:t>
            </w:r>
            <w:r w:rsidRPr="0025614B">
              <w:rPr>
                <w:lang w:val="pt-BR"/>
              </w:rPr>
              <w:t xml:space="preserve"> 6 USB ó superior </w:t>
            </w:r>
          </w:p>
          <w:p w14:paraId="362514AC" w14:textId="77777777" w:rsidR="0025614B" w:rsidRDefault="0025614B" w:rsidP="0025614B">
            <w:pPr>
              <w:jc w:val="both"/>
            </w:pPr>
            <w:r>
              <w:t>1 puerto HDMI</w:t>
            </w:r>
          </w:p>
          <w:p w14:paraId="4796D26A" w14:textId="77777777" w:rsidR="0025614B" w:rsidRDefault="0025614B" w:rsidP="0025614B">
            <w:pPr>
              <w:jc w:val="both"/>
            </w:pPr>
            <w:r>
              <w:t xml:space="preserve">1 </w:t>
            </w:r>
            <w:proofErr w:type="spellStart"/>
            <w:r>
              <w:t>Display</w:t>
            </w:r>
            <w:proofErr w:type="spellEnd"/>
            <w:r>
              <w:t xml:space="preserve"> Port</w:t>
            </w:r>
          </w:p>
          <w:p w14:paraId="001314BD" w14:textId="77777777" w:rsidR="0025614B" w:rsidRDefault="0025614B" w:rsidP="0025614B">
            <w:pPr>
              <w:jc w:val="both"/>
            </w:pPr>
            <w:r w:rsidRPr="00D81EC8">
              <w:rPr>
                <w:b/>
                <w:bCs/>
              </w:rPr>
              <w:t>Audio:</w:t>
            </w:r>
            <w:r>
              <w:t xml:space="preserve"> Integrado</w:t>
            </w:r>
          </w:p>
          <w:p w14:paraId="770F3D2C" w14:textId="77777777" w:rsidR="0025614B" w:rsidRDefault="0025614B" w:rsidP="0025614B">
            <w:pPr>
              <w:jc w:val="both"/>
            </w:pPr>
            <w:r w:rsidRPr="00D81EC8">
              <w:rPr>
                <w:b/>
                <w:bCs/>
              </w:rPr>
              <w:t>Tarjeta de red:</w:t>
            </w:r>
            <w:r>
              <w:t xml:space="preserve"> Integrado </w:t>
            </w:r>
          </w:p>
          <w:p w14:paraId="1EAAA8C4" w14:textId="77777777" w:rsidR="0025614B" w:rsidRDefault="0025614B" w:rsidP="0025614B">
            <w:pPr>
              <w:jc w:val="both"/>
            </w:pPr>
            <w:r w:rsidRPr="00FE285B">
              <w:rPr>
                <w:b/>
                <w:bCs/>
              </w:rPr>
              <w:t>Disco duro:</w:t>
            </w:r>
            <w:r>
              <w:t xml:space="preserve"> 1TB SSD PCIe </w:t>
            </w:r>
            <w:proofErr w:type="spellStart"/>
            <w:r>
              <w:t>NVMe</w:t>
            </w:r>
            <w:proofErr w:type="spellEnd"/>
            <w:r>
              <w:t xml:space="preserve"> o Superior </w:t>
            </w:r>
          </w:p>
          <w:p w14:paraId="141917FC" w14:textId="77777777" w:rsidR="0025614B" w:rsidRDefault="0025614B" w:rsidP="0025614B">
            <w:pPr>
              <w:jc w:val="both"/>
            </w:pPr>
            <w:r w:rsidRPr="00FE285B">
              <w:rPr>
                <w:b/>
                <w:bCs/>
              </w:rPr>
              <w:t>Monitor:</w:t>
            </w:r>
            <w:r>
              <w:t xml:space="preserve"> 21.5” (1920 x 1080) o superior</w:t>
            </w:r>
          </w:p>
          <w:p w14:paraId="206D7501" w14:textId="77777777" w:rsidR="00561DD6" w:rsidRDefault="0025614B" w:rsidP="0025614B">
            <w:pPr>
              <w:jc w:val="both"/>
            </w:pPr>
            <w:r w:rsidRPr="00FE285B">
              <w:rPr>
                <w:b/>
                <w:bCs/>
              </w:rPr>
              <w:t>Mouse y almohadilla:</w:t>
            </w:r>
            <w:r>
              <w:t xml:space="preserve"> </w:t>
            </w:r>
          </w:p>
          <w:p w14:paraId="21B9DB8A" w14:textId="4E2639FF" w:rsidR="0025614B" w:rsidRDefault="0025614B" w:rsidP="00561DD6">
            <w:pPr>
              <w:jc w:val="both"/>
            </w:pPr>
            <w:proofErr w:type="gramStart"/>
            <w:r>
              <w:t>Mouse</w:t>
            </w:r>
            <w:proofErr w:type="gramEnd"/>
            <w:r>
              <w:t xml:space="preserve"> Óptico Incluidos de la misma marca de la computadora </w:t>
            </w:r>
          </w:p>
          <w:p w14:paraId="7228116D" w14:textId="77777777" w:rsidR="0025614B" w:rsidRDefault="0025614B" w:rsidP="0025614B">
            <w:pPr>
              <w:jc w:val="both"/>
            </w:pPr>
            <w:r>
              <w:t>Almohadilla ergonómica.</w:t>
            </w:r>
          </w:p>
          <w:p w14:paraId="063169B4" w14:textId="77777777" w:rsidR="0025614B" w:rsidRDefault="0025614B" w:rsidP="0025614B">
            <w:pPr>
              <w:jc w:val="both"/>
            </w:pPr>
            <w:r w:rsidRPr="00FE285B">
              <w:rPr>
                <w:b/>
                <w:bCs/>
              </w:rPr>
              <w:t>Teclado:</w:t>
            </w:r>
            <w:r>
              <w:t xml:space="preserve"> En español de la misma marca de la computadora</w:t>
            </w:r>
          </w:p>
          <w:p w14:paraId="30B0CF78" w14:textId="77777777" w:rsidR="0025614B" w:rsidRDefault="0025614B" w:rsidP="0025614B">
            <w:pPr>
              <w:jc w:val="both"/>
            </w:pPr>
            <w:r w:rsidRPr="00772480">
              <w:rPr>
                <w:b/>
                <w:bCs/>
              </w:rPr>
              <w:t>Sistema operativo:</w:t>
            </w:r>
            <w:r>
              <w:t xml:space="preserve"> Windows 11 Professional de 64 bit, en español Licencia, instalado y registrado </w:t>
            </w:r>
          </w:p>
          <w:p w14:paraId="0EE2BB08" w14:textId="2E5BDEA7" w:rsidR="000268B5" w:rsidRDefault="0025614B" w:rsidP="0025614B">
            <w:pPr>
              <w:jc w:val="both"/>
            </w:pPr>
            <w:r w:rsidRPr="00772480">
              <w:rPr>
                <w:b/>
                <w:bCs/>
              </w:rPr>
              <w:t>Ofimática:</w:t>
            </w:r>
            <w:r>
              <w:t xml:space="preserve"> Office Estándar 2024, Licencia, en español instalado y Registrado: Registrar </w:t>
            </w:r>
          </w:p>
          <w:p w14:paraId="0A140776" w14:textId="2B2DD2D6" w:rsidR="0025614B" w:rsidRDefault="0025614B" w:rsidP="0025614B">
            <w:pPr>
              <w:jc w:val="both"/>
            </w:pPr>
            <w:r w:rsidRPr="002C4D65">
              <w:rPr>
                <w:b/>
                <w:bCs/>
              </w:rPr>
              <w:t>Licencias a la Cuenta:</w:t>
            </w:r>
            <w:r>
              <w:t xml:space="preserve"> </w:t>
            </w:r>
            <w:r w:rsidRPr="002C4D65">
              <w:rPr>
                <w:i/>
                <w:iCs/>
                <w:color w:val="0000CC"/>
                <w:u w:val="single"/>
              </w:rPr>
              <w:t>si@minsa.gob.ni</w:t>
            </w:r>
          </w:p>
          <w:p w14:paraId="7DA1844E" w14:textId="77777777" w:rsidR="003A1AC8" w:rsidRDefault="003A1AC8" w:rsidP="0025614B">
            <w:pPr>
              <w:jc w:val="both"/>
              <w:rPr>
                <w:b/>
                <w:bCs/>
              </w:rPr>
            </w:pPr>
          </w:p>
          <w:p w14:paraId="3D6EFDAE" w14:textId="6125AE6D" w:rsidR="0025614B" w:rsidRDefault="0025614B" w:rsidP="0025614B">
            <w:pPr>
              <w:jc w:val="both"/>
            </w:pPr>
            <w:r w:rsidRPr="00772480">
              <w:rPr>
                <w:b/>
                <w:bCs/>
              </w:rPr>
              <w:t>Lugar de entrega:</w:t>
            </w:r>
            <w:r>
              <w:t xml:space="preserve"> Almacén Complejo Nacional de Salud (CNS)</w:t>
            </w:r>
            <w:r w:rsidR="000268B5">
              <w:t>.</w:t>
            </w:r>
          </w:p>
          <w:p w14:paraId="1243A152" w14:textId="77777777" w:rsidR="000268B5" w:rsidRDefault="000268B5" w:rsidP="0025614B">
            <w:pPr>
              <w:jc w:val="both"/>
            </w:pPr>
          </w:p>
          <w:p w14:paraId="6606BE72" w14:textId="199C708C" w:rsidR="0025614B" w:rsidRDefault="0015511B" w:rsidP="0025614B">
            <w:pPr>
              <w:jc w:val="both"/>
            </w:pPr>
            <w:r>
              <w:rPr>
                <w:b/>
                <w:bCs/>
              </w:rPr>
              <w:t>T</w:t>
            </w:r>
            <w:r w:rsidRPr="00772480">
              <w:rPr>
                <w:b/>
                <w:bCs/>
              </w:rPr>
              <w:t>iempo</w:t>
            </w:r>
            <w:r w:rsidR="0025614B" w:rsidRPr="00772480">
              <w:rPr>
                <w:b/>
                <w:bCs/>
              </w:rPr>
              <w:t xml:space="preserve"> de Entrega:</w:t>
            </w:r>
            <w:r w:rsidR="0025614B">
              <w:t xml:space="preserve"> 30 días Calendario contados a partir del día siguiente de la firma del contrato.</w:t>
            </w:r>
          </w:p>
          <w:p w14:paraId="4077E325" w14:textId="77777777" w:rsidR="000268B5" w:rsidRDefault="000268B5" w:rsidP="0025614B">
            <w:pPr>
              <w:jc w:val="both"/>
            </w:pPr>
          </w:p>
          <w:p w14:paraId="475B8601" w14:textId="77777777" w:rsidR="00075C87" w:rsidRDefault="0025614B" w:rsidP="0025614B">
            <w:pPr>
              <w:jc w:val="both"/>
            </w:pPr>
            <w:r w:rsidRPr="00772480">
              <w:rPr>
                <w:b/>
                <w:bCs/>
              </w:rPr>
              <w:t>GARANTIA DE FABRICANTE:</w:t>
            </w:r>
            <w:r>
              <w:t xml:space="preserve"> </w:t>
            </w:r>
          </w:p>
          <w:p w14:paraId="2BC50B22" w14:textId="6D934F71" w:rsidR="0025614B" w:rsidRDefault="0025614B" w:rsidP="0025614B">
            <w:pPr>
              <w:jc w:val="both"/>
            </w:pPr>
            <w:r>
              <w:t>3 años de garantía en partes y mano de obra, asistencia con soporte y reparación en sitio (Para efectos de garantías, estas deberán realizarse en las instalaciones del Complejo Nacional de Salud Managua.) con las condiciones siguientes:</w:t>
            </w:r>
          </w:p>
          <w:p w14:paraId="4148EA86" w14:textId="77777777" w:rsidR="0025614B" w:rsidRDefault="0025614B" w:rsidP="0025614B">
            <w:pPr>
              <w:jc w:val="both"/>
            </w:pPr>
            <w:r>
              <w:tab/>
            </w:r>
          </w:p>
          <w:p w14:paraId="2559E1FC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Soporte para averías de equipos</w:t>
            </w:r>
          </w:p>
          <w:p w14:paraId="043F4915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Soporte técnico avanzado disponible 24/7/365</w:t>
            </w:r>
          </w:p>
          <w:p w14:paraId="0AE35784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Compatibilidad integral con el hardware y el software del fabricante de equipos originales (OEM).</w:t>
            </w:r>
          </w:p>
          <w:p w14:paraId="4EA10EDC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lastRenderedPageBreak/>
              <w:t>Único punto de contacto para gestión integral de incidencias simplificada</w:t>
            </w:r>
          </w:p>
          <w:p w14:paraId="13C3F8B3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Administradores de cuentas técnicas para una gestión jerarquizada</w:t>
            </w:r>
          </w:p>
          <w:p w14:paraId="60289848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Servicio in situ al siguiente día laborable y priorización de piezas</w:t>
            </w:r>
          </w:p>
          <w:p w14:paraId="1066F746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Informes estándar disponibles (nivel de servicio, repeticiones, dentro o fuera de la garantía, etc.)</w:t>
            </w:r>
          </w:p>
          <w:p w14:paraId="5928E83C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Conexión de servicio para Gestión activos, soporte de productos y seguimiento de incidencias (o solicitudes) de servicio.</w:t>
            </w:r>
          </w:p>
          <w:p w14:paraId="11621B4B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Opción de etiquetado de activos para gestión de inventario e información de contacto.</w:t>
            </w:r>
          </w:p>
          <w:p w14:paraId="7BBDC962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Carta de autorización del fabricante</w:t>
            </w:r>
            <w:r>
              <w:tab/>
            </w:r>
          </w:p>
          <w:p w14:paraId="3AE3BD32" w14:textId="77777777" w:rsidR="0025614B" w:rsidRDefault="0025614B" w:rsidP="0025614B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Presentar carta de autorización del fabricante que autorice al proveedor local la venta del producto ofertado.</w:t>
            </w:r>
          </w:p>
          <w:p w14:paraId="4DDE0619" w14:textId="77777777" w:rsidR="0025614B" w:rsidRDefault="0025614B" w:rsidP="0025614B">
            <w:pPr>
              <w:jc w:val="both"/>
            </w:pPr>
          </w:p>
          <w:p w14:paraId="599CCC3D" w14:textId="77777777" w:rsidR="0025614B" w:rsidRPr="006B3113" w:rsidRDefault="0025614B" w:rsidP="0025614B">
            <w:pPr>
              <w:jc w:val="both"/>
              <w:rPr>
                <w:u w:val="single"/>
              </w:rPr>
            </w:pPr>
            <w:r w:rsidRPr="00772480">
              <w:rPr>
                <w:b/>
                <w:bCs/>
              </w:rPr>
              <w:t>Producto:</w:t>
            </w:r>
            <w:r>
              <w:t xml:space="preserve"> </w:t>
            </w:r>
            <w:r w:rsidRPr="006B3113">
              <w:rPr>
                <w:b/>
                <w:bCs/>
                <w:color w:val="000000" w:themeColor="text1"/>
                <w:u w:val="single"/>
              </w:rPr>
              <w:t>Batería de respaldo</w:t>
            </w:r>
          </w:p>
          <w:p w14:paraId="1AC9001A" w14:textId="77777777" w:rsidR="00FC408B" w:rsidRDefault="00FC408B" w:rsidP="0025614B">
            <w:pPr>
              <w:jc w:val="both"/>
            </w:pPr>
          </w:p>
          <w:p w14:paraId="6F543439" w14:textId="77777777" w:rsidR="0025614B" w:rsidRPr="00772480" w:rsidRDefault="0025614B" w:rsidP="0025614B">
            <w:pPr>
              <w:jc w:val="both"/>
              <w:rPr>
                <w:b/>
                <w:bCs/>
                <w:u w:val="single"/>
              </w:rPr>
            </w:pPr>
            <w:r w:rsidRPr="00772480">
              <w:rPr>
                <w:b/>
                <w:bCs/>
                <w:u w:val="single"/>
              </w:rPr>
              <w:t>SALIDA</w:t>
            </w:r>
          </w:p>
          <w:p w14:paraId="0C645669" w14:textId="77777777" w:rsidR="0025614B" w:rsidRDefault="0025614B" w:rsidP="0025614B">
            <w:pPr>
              <w:jc w:val="both"/>
            </w:pPr>
            <w:r>
              <w:t xml:space="preserve">Potencia Nominal en </w:t>
            </w:r>
            <w:proofErr w:type="spellStart"/>
            <w:r>
              <w:t>Vols</w:t>
            </w:r>
            <w:proofErr w:type="spellEnd"/>
            <w:r>
              <w:t xml:space="preserve"> Amperes (VA)/W: 900VA/480W</w:t>
            </w:r>
          </w:p>
          <w:p w14:paraId="0053BC9C" w14:textId="77777777" w:rsidR="0025614B" w:rsidRDefault="0025614B" w:rsidP="0025614B">
            <w:pPr>
              <w:jc w:val="both"/>
            </w:pPr>
            <w:r>
              <w:t>Voltaje(s) Nominal(es) de Salida: 120V</w:t>
            </w:r>
          </w:p>
          <w:p w14:paraId="27776492" w14:textId="77777777" w:rsidR="0025614B" w:rsidRDefault="0025614B" w:rsidP="0025614B">
            <w:pPr>
              <w:jc w:val="both"/>
            </w:pPr>
            <w:r>
              <w:t>Frecuencia:50/6 Hz</w:t>
            </w:r>
          </w:p>
          <w:p w14:paraId="2A59FBD9" w14:textId="77777777" w:rsidR="0025614B" w:rsidRDefault="0025614B" w:rsidP="0025614B">
            <w:pPr>
              <w:jc w:val="both"/>
            </w:pPr>
            <w:r>
              <w:t>Tomacorrientes: (6) 5-15R</w:t>
            </w:r>
          </w:p>
          <w:p w14:paraId="591F8EA5" w14:textId="77777777" w:rsidR="0025614B" w:rsidRDefault="0025614B" w:rsidP="0025614B">
            <w:pPr>
              <w:jc w:val="both"/>
            </w:pPr>
            <w:r>
              <w:t>Rectángulos de salida del UPS: 6 Tomacorrientes o superior.</w:t>
            </w:r>
          </w:p>
          <w:p w14:paraId="2AB02F7A" w14:textId="77777777" w:rsidR="0025614B" w:rsidRPr="00772480" w:rsidRDefault="0025614B" w:rsidP="0025614B">
            <w:pPr>
              <w:jc w:val="both"/>
              <w:rPr>
                <w:b/>
                <w:bCs/>
                <w:u w:val="single"/>
              </w:rPr>
            </w:pPr>
            <w:r w:rsidRPr="00772480">
              <w:rPr>
                <w:b/>
                <w:bCs/>
                <w:u w:val="single"/>
              </w:rPr>
              <w:t>ENTRADA</w:t>
            </w:r>
          </w:p>
          <w:p w14:paraId="441A2580" w14:textId="77777777" w:rsidR="0025614B" w:rsidRDefault="0025614B" w:rsidP="0025614B">
            <w:pPr>
              <w:jc w:val="both"/>
            </w:pPr>
            <w:r>
              <w:t>Tensión de Entrada: 120V</w:t>
            </w:r>
          </w:p>
          <w:p w14:paraId="3A1D7299" w14:textId="77777777" w:rsidR="0025614B" w:rsidRDefault="0025614B" w:rsidP="0025614B">
            <w:pPr>
              <w:jc w:val="both"/>
            </w:pPr>
            <w:r>
              <w:t>Regulación del voltaje: línea con un rango de voltajes de entrada de 89V a 145V 120 V CA.</w:t>
            </w:r>
          </w:p>
          <w:p w14:paraId="16C21BEB" w14:textId="77777777" w:rsidR="0025614B" w:rsidRPr="00772480" w:rsidRDefault="0025614B" w:rsidP="0025614B">
            <w:pPr>
              <w:jc w:val="both"/>
              <w:rPr>
                <w:b/>
                <w:bCs/>
              </w:rPr>
            </w:pPr>
            <w:r w:rsidRPr="00772480">
              <w:rPr>
                <w:b/>
                <w:bCs/>
              </w:rPr>
              <w:t>BATERIA</w:t>
            </w:r>
          </w:p>
          <w:p w14:paraId="2FB5D306" w14:textId="77777777" w:rsidR="0025614B" w:rsidRDefault="0025614B" w:rsidP="0025614B">
            <w:pPr>
              <w:jc w:val="both"/>
            </w:pPr>
            <w:r>
              <w:t>Tiempo de Recargas de Baterías: 8 horas</w:t>
            </w:r>
          </w:p>
          <w:p w14:paraId="6D6D600C" w14:textId="77777777" w:rsidR="0025614B" w:rsidRDefault="0025614B" w:rsidP="0025614B">
            <w:pPr>
              <w:jc w:val="both"/>
            </w:pPr>
            <w:r>
              <w:t>Certificaciones del UPS: Contar con al menos una de las siguientes calificaciones: UL1778 (</w:t>
            </w:r>
            <w:proofErr w:type="gramStart"/>
            <w:r>
              <w:t>EE UU</w:t>
            </w:r>
            <w:proofErr w:type="gramEnd"/>
            <w:r>
              <w:t>); CSA (Canadá) NOM (México) FCC Parte 15 Categoría B (EMI)</w:t>
            </w:r>
          </w:p>
          <w:p w14:paraId="6AD934A3" w14:textId="77777777" w:rsidR="000268B5" w:rsidRDefault="000268B5" w:rsidP="0025614B">
            <w:pPr>
              <w:jc w:val="both"/>
              <w:rPr>
                <w:b/>
                <w:bCs/>
              </w:rPr>
            </w:pPr>
          </w:p>
          <w:p w14:paraId="180AA885" w14:textId="36E784AA" w:rsidR="0025614B" w:rsidRDefault="0025614B" w:rsidP="0025614B">
            <w:pPr>
              <w:jc w:val="both"/>
              <w:rPr>
                <w:b/>
                <w:bCs/>
              </w:rPr>
            </w:pPr>
            <w:r w:rsidRPr="00772480">
              <w:rPr>
                <w:b/>
                <w:bCs/>
              </w:rPr>
              <w:t xml:space="preserve">GARANTIA </w:t>
            </w:r>
          </w:p>
          <w:p w14:paraId="00B5B574" w14:textId="77777777" w:rsidR="003D3B95" w:rsidRDefault="0025614B" w:rsidP="0025614B">
            <w:pPr>
              <w:jc w:val="both"/>
            </w:pPr>
            <w:r w:rsidRPr="00772480">
              <w:rPr>
                <w:b/>
                <w:bCs/>
              </w:rPr>
              <w:t>Garantía de fábrica:</w:t>
            </w:r>
            <w:r>
              <w:t xml:space="preserve"> </w:t>
            </w:r>
          </w:p>
          <w:p w14:paraId="6BEFA90A" w14:textId="119AF500" w:rsidR="0025614B" w:rsidRDefault="0025614B" w:rsidP="0025614B">
            <w:pPr>
              <w:jc w:val="both"/>
            </w:pPr>
            <w:r>
              <w:t xml:space="preserve">2 años en partes y mano de obra y soporte en sitio, incluye soporte en sitio (Para efectos de garantías, estas deberán realizarse en las </w:t>
            </w:r>
            <w:r>
              <w:lastRenderedPageBreak/>
              <w:t>instalaciones del Complejo Nacional de Salud Managua.)</w:t>
            </w:r>
          </w:p>
          <w:p w14:paraId="6434E3B6" w14:textId="77777777" w:rsidR="0025614B" w:rsidRDefault="0025614B" w:rsidP="0025614B">
            <w:pPr>
              <w:jc w:val="both"/>
            </w:pPr>
            <w:r w:rsidRPr="00772480">
              <w:rPr>
                <w:b/>
                <w:bCs/>
              </w:rPr>
              <w:t>Tiempo de Entrega:</w:t>
            </w:r>
            <w:r>
              <w:t xml:space="preserve"> 30 días calendarios contados a partir del día siguiente de la firma del contrato.</w:t>
            </w:r>
          </w:p>
          <w:p w14:paraId="5C10995A" w14:textId="77777777" w:rsidR="0025614B" w:rsidRDefault="0025614B" w:rsidP="0025614B">
            <w:pPr>
              <w:jc w:val="both"/>
            </w:pPr>
            <w:r w:rsidRPr="00772480">
              <w:rPr>
                <w:b/>
                <w:bCs/>
              </w:rPr>
              <w:t>Lugar de Entrega:</w:t>
            </w:r>
            <w:r>
              <w:t xml:space="preserve"> Almacen Complejo Nacional de Salud (CNS)</w:t>
            </w:r>
          </w:p>
          <w:p w14:paraId="3B9EEEEA" w14:textId="77777777" w:rsidR="00A1259C" w:rsidRDefault="00A1259C" w:rsidP="0025614B">
            <w:pPr>
              <w:jc w:val="both"/>
            </w:pPr>
          </w:p>
          <w:p w14:paraId="03D8028B" w14:textId="77777777" w:rsidR="0025614B" w:rsidRPr="00772480" w:rsidRDefault="0025614B" w:rsidP="0025614B">
            <w:pPr>
              <w:jc w:val="both"/>
              <w:rPr>
                <w:b/>
                <w:bCs/>
              </w:rPr>
            </w:pPr>
            <w:r w:rsidRPr="00772480">
              <w:rPr>
                <w:b/>
                <w:bCs/>
              </w:rPr>
              <w:t>AUTORIZACION DEL FABRICANTE</w:t>
            </w:r>
          </w:p>
          <w:p w14:paraId="10E630BE" w14:textId="77777777" w:rsidR="0025614B" w:rsidRDefault="0025614B" w:rsidP="0025614B">
            <w:pPr>
              <w:jc w:val="both"/>
            </w:pPr>
            <w:r>
              <w:t>Carta de autorización del fabricante: Presentar carta de autorización del fabricante que autorice al proveedor local la venta del producto ofertado.</w:t>
            </w:r>
          </w:p>
          <w:p w14:paraId="23E1FED4" w14:textId="5B93E0DC" w:rsidR="0025614B" w:rsidRDefault="0025614B" w:rsidP="0025614B">
            <w:pPr>
              <w:jc w:val="both"/>
            </w:pPr>
            <w:r>
              <w:t>Brochure: Adjuntar Brochure del fabricante del modelo a ofertar.</w:t>
            </w:r>
          </w:p>
          <w:p w14:paraId="3B49C12E" w14:textId="77777777" w:rsidR="0015589A" w:rsidRPr="00917D4C" w:rsidRDefault="0015589A" w:rsidP="00FA3C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CA8B" w14:textId="260DF28E" w:rsidR="0015589A" w:rsidRPr="00917D4C" w:rsidRDefault="0015511B" w:rsidP="0015511B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lastRenderedPageBreak/>
              <w:t>UNIDADES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AFF40" w14:textId="6FF8E75A" w:rsidR="0015589A" w:rsidRPr="00917D4C" w:rsidRDefault="00F003EF" w:rsidP="00FA3C8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</w:tr>
    </w:tbl>
    <w:bookmarkEnd w:id="0"/>
    <w:p w14:paraId="1FE73229" w14:textId="1FC0C444" w:rsidR="0015589A" w:rsidRPr="00931E78" w:rsidRDefault="00190318" w:rsidP="0015589A">
      <w:pPr>
        <w:jc w:val="both"/>
        <w:rPr>
          <w:rFonts w:ascii="Aptos Narrow" w:eastAsia="Times New Roman" w:hAnsi="Aptos Narrow" w:cs="Times New Roman"/>
          <w:color w:val="000000"/>
          <w:sz w:val="23"/>
          <w:szCs w:val="23"/>
          <w:lang w:val="es-US" w:eastAsia="es-US"/>
        </w:rPr>
      </w:pPr>
      <w:r w:rsidRPr="00190318">
        <w:rPr>
          <w:rFonts w:ascii="Aptos Narrow" w:eastAsia="Times New Roman" w:hAnsi="Aptos Narrow" w:cs="Times New Roman"/>
          <w:b/>
          <w:bCs/>
          <w:color w:val="EE0000"/>
          <w:sz w:val="23"/>
          <w:szCs w:val="23"/>
          <w:lang w:eastAsia="es-US"/>
        </w:rPr>
        <w:lastRenderedPageBreak/>
        <w:t>OBSERVACION</w:t>
      </w:r>
      <w:r>
        <w:rPr>
          <w:rFonts w:ascii="Aptos Narrow" w:eastAsia="Times New Roman" w:hAnsi="Aptos Narrow" w:cs="Times New Roman"/>
          <w:b/>
          <w:bCs/>
          <w:color w:val="EE0000"/>
          <w:sz w:val="23"/>
          <w:szCs w:val="23"/>
          <w:lang w:eastAsia="es-US"/>
        </w:rPr>
        <w:t xml:space="preserve"> IMPORTANTE</w:t>
      </w:r>
      <w:r w:rsidRPr="00190318">
        <w:rPr>
          <w:rFonts w:ascii="Aptos Narrow" w:eastAsia="Times New Roman" w:hAnsi="Aptos Narrow" w:cs="Times New Roman"/>
          <w:b/>
          <w:bCs/>
          <w:color w:val="EE0000"/>
          <w:sz w:val="23"/>
          <w:szCs w:val="23"/>
          <w:lang w:eastAsia="es-US"/>
        </w:rPr>
        <w:t>:</w:t>
      </w:r>
      <w:r w:rsidRPr="00190318">
        <w:rPr>
          <w:rFonts w:ascii="Aptos Narrow" w:eastAsia="Times New Roman" w:hAnsi="Aptos Narrow" w:cs="Times New Roman"/>
          <w:color w:val="EE0000"/>
          <w:sz w:val="23"/>
          <w:szCs w:val="23"/>
          <w:lang w:eastAsia="es-US"/>
        </w:rPr>
        <w:t xml:space="preserve"> </w:t>
      </w:r>
      <w:r w:rsidRPr="00190318">
        <w:rPr>
          <w:rFonts w:ascii="Aptos Narrow" w:eastAsia="Times New Roman" w:hAnsi="Aptos Narrow" w:cs="Times New Roman"/>
          <w:color w:val="000000"/>
          <w:sz w:val="23"/>
          <w:szCs w:val="23"/>
          <w:lang w:eastAsia="es-US"/>
        </w:rPr>
        <w:t>Favor adjuntar la ficha técnica del equipo ofertado y detallar de forma clara, completa y precisa las especificaciones técnicas requeridas, conforme a lo establecido en el cuadro anterior. La información proporcionada deberá permitir verificar el cumplimiento de cada una de las características solicitadas.</w:t>
      </w:r>
    </w:p>
    <w:p w14:paraId="037C14BB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4A340880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4936E3AD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74067F9A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76984ED8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760EEFAE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4F80D47E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F45E525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737BC2DD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7E59156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2DECBC8D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A74CC93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4D4AF19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6C71C1E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45EF41B7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0011FA27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0A02A254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E56EACA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38052395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0F81BE11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6DBD4BDA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E343DE9" w14:textId="77777777" w:rsidR="00F818A4" w:rsidRDefault="00F818A4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9C94122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8D494AA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2E57F309" w14:textId="77777777" w:rsidR="0015589A" w:rsidRDefault="0015589A" w:rsidP="0015589A">
      <w:pPr>
        <w:jc w:val="center"/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5CC67568" w14:textId="77777777" w:rsidR="0015589A" w:rsidRDefault="0015589A" w:rsidP="005D1A6B">
      <w:pPr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79626330" w14:textId="77777777" w:rsidR="00E20E1D" w:rsidRDefault="00E20E1D" w:rsidP="005D1A6B">
      <w:pPr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3DADBD9F" w14:textId="77777777" w:rsidR="00E20E1D" w:rsidRDefault="00E20E1D" w:rsidP="005D1A6B">
      <w:pPr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1C651726" w14:textId="77777777" w:rsidR="00E20E1D" w:rsidRDefault="00E20E1D" w:rsidP="005D1A6B">
      <w:pPr>
        <w:rPr>
          <w:rFonts w:ascii="Arial Narrow" w:hAnsi="Arial Narrow"/>
          <w:b/>
          <w:sz w:val="24"/>
          <w:szCs w:val="24"/>
          <w:u w:val="single"/>
          <w:lang w:val="es-US"/>
        </w:rPr>
      </w:pPr>
    </w:p>
    <w:p w14:paraId="74834AFF" w14:textId="0EFB7CAC" w:rsidR="0015589A" w:rsidRDefault="00B1380B" w:rsidP="00F818A4">
      <w:pPr>
        <w:jc w:val="center"/>
        <w:rPr>
          <w:rFonts w:ascii="Arial Narrow" w:hAnsi="Arial Narrow"/>
          <w:sz w:val="20"/>
          <w:szCs w:val="20"/>
        </w:rPr>
      </w:pPr>
      <w:r w:rsidRPr="002070E5">
        <w:rPr>
          <w:rFonts w:ascii="Arial Narrow" w:hAnsi="Arial Narrow"/>
          <w:b/>
          <w:u w:val="single"/>
        </w:rPr>
        <w:t xml:space="preserve">ESPECIFICACIONES TECNICAS – </w:t>
      </w:r>
      <w:r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LAPTOPS</w:t>
      </w:r>
      <w:r w:rsidRPr="005D1A6B">
        <w:rPr>
          <w:rFonts w:ascii="Arial Narrow" w:hAnsi="Arial Narrow"/>
          <w:b/>
          <w:color w:val="0000CC"/>
          <w:sz w:val="24"/>
          <w:szCs w:val="24"/>
          <w:u w:val="single"/>
          <w:lang w:val="es-US"/>
        </w:rPr>
        <w:t>:</w:t>
      </w:r>
      <w:r w:rsidR="0015589A">
        <w:rPr>
          <w:rFonts w:ascii="Arial Narrow" w:hAnsi="Arial Narrow"/>
          <w:sz w:val="20"/>
          <w:szCs w:val="20"/>
        </w:rPr>
        <w:tab/>
      </w:r>
      <w:r w:rsidR="0015589A">
        <w:rPr>
          <w:rFonts w:ascii="Arial Narrow" w:hAnsi="Arial Narrow"/>
          <w:sz w:val="20"/>
          <w:szCs w:val="20"/>
        </w:rPr>
        <w:tab/>
      </w:r>
    </w:p>
    <w:tbl>
      <w:tblPr>
        <w:tblpPr w:leftFromText="141" w:rightFromText="141" w:vertAnchor="text" w:horzAnchor="margin" w:tblpY="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08"/>
        <w:gridCol w:w="2268"/>
        <w:gridCol w:w="1701"/>
      </w:tblGrid>
      <w:tr w:rsidR="00F818A4" w:rsidRPr="00C6148A" w14:paraId="7C38CC87" w14:textId="77777777" w:rsidTr="00467365">
        <w:trPr>
          <w:trHeight w:val="47"/>
          <w:tblHeader/>
        </w:trPr>
        <w:tc>
          <w:tcPr>
            <w:tcW w:w="590" w:type="dxa"/>
            <w:shd w:val="clear" w:color="000000" w:fill="DAE9F8"/>
            <w:noWrap/>
            <w:vAlign w:val="center"/>
            <w:hideMark/>
          </w:tcPr>
          <w:p w14:paraId="64445826" w14:textId="4262E130" w:rsidR="00F818A4" w:rsidRPr="00C6148A" w:rsidRDefault="00F751A6" w:rsidP="00467365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ítem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s</w:t>
            </w:r>
          </w:p>
        </w:tc>
        <w:tc>
          <w:tcPr>
            <w:tcW w:w="4508" w:type="dxa"/>
            <w:shd w:val="clear" w:color="000000" w:fill="DAE9F8"/>
            <w:vAlign w:val="center"/>
          </w:tcPr>
          <w:p w14:paraId="2CF68C0A" w14:textId="77777777" w:rsidR="00F818A4" w:rsidRPr="00C6148A" w:rsidRDefault="00F818A4" w:rsidP="00467365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Descripción</w:t>
            </w:r>
          </w:p>
        </w:tc>
        <w:tc>
          <w:tcPr>
            <w:tcW w:w="2268" w:type="dxa"/>
            <w:shd w:val="clear" w:color="000000" w:fill="DAE9F8"/>
            <w:vAlign w:val="center"/>
            <w:hideMark/>
          </w:tcPr>
          <w:p w14:paraId="09671422" w14:textId="77777777" w:rsidR="00F818A4" w:rsidRPr="00C6148A" w:rsidRDefault="00F818A4" w:rsidP="00467365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Unidad Medida</w:t>
            </w:r>
          </w:p>
        </w:tc>
        <w:tc>
          <w:tcPr>
            <w:tcW w:w="1701" w:type="dxa"/>
            <w:shd w:val="clear" w:color="000000" w:fill="DAE9F8"/>
            <w:noWrap/>
            <w:vAlign w:val="center"/>
            <w:hideMark/>
          </w:tcPr>
          <w:p w14:paraId="527C0E2E" w14:textId="77777777" w:rsidR="00F818A4" w:rsidRPr="00C6148A" w:rsidRDefault="00F818A4" w:rsidP="00467365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US"/>
              </w:rPr>
              <w:t>Cantidad</w:t>
            </w:r>
          </w:p>
        </w:tc>
      </w:tr>
      <w:tr w:rsidR="00F818A4" w:rsidRPr="00C6148A" w14:paraId="0568865B" w14:textId="77777777" w:rsidTr="00467365">
        <w:trPr>
          <w:trHeight w:val="314"/>
        </w:trPr>
        <w:tc>
          <w:tcPr>
            <w:tcW w:w="590" w:type="dxa"/>
            <w:noWrap/>
            <w:vAlign w:val="center"/>
          </w:tcPr>
          <w:p w14:paraId="2A0B64BC" w14:textId="77777777" w:rsidR="00F818A4" w:rsidRPr="00C6148A" w:rsidRDefault="00F818A4" w:rsidP="00467365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</w:pPr>
            <w:r w:rsidRPr="00C6148A">
              <w:rPr>
                <w:rFonts w:ascii="Arial Narrow" w:eastAsia="Times New Roman" w:hAnsi="Arial Narrow" w:cs="Times New Roman"/>
                <w:sz w:val="20"/>
                <w:szCs w:val="20"/>
                <w:lang w:eastAsia="es-US"/>
              </w:rPr>
              <w:t>1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11D9" w14:textId="46EEE943" w:rsidR="00F64201" w:rsidRPr="00F64201" w:rsidRDefault="00F64201" w:rsidP="00F751A6">
            <w:pPr>
              <w:jc w:val="both"/>
              <w:rPr>
                <w:b/>
                <w:bCs/>
                <w:u w:val="single"/>
              </w:rPr>
            </w:pPr>
            <w:r w:rsidRPr="00F64201">
              <w:rPr>
                <w:b/>
                <w:bCs/>
                <w:u w:val="single"/>
              </w:rPr>
              <w:t>COMPUTADORA PORTATIL</w:t>
            </w:r>
          </w:p>
          <w:p w14:paraId="351B04EF" w14:textId="7260BF34" w:rsidR="00F751A6" w:rsidRDefault="00F751A6" w:rsidP="00F751A6">
            <w:pPr>
              <w:jc w:val="both"/>
            </w:pPr>
            <w:r w:rsidRPr="00772480">
              <w:rPr>
                <w:b/>
                <w:bCs/>
              </w:rPr>
              <w:t>Procesador:</w:t>
            </w:r>
            <w:r>
              <w:t xml:space="preserve"> Intel Core i9 14va Generación </w:t>
            </w:r>
          </w:p>
          <w:p w14:paraId="68991598" w14:textId="77777777" w:rsidR="00F751A6" w:rsidRDefault="00F751A6" w:rsidP="00F751A6">
            <w:pPr>
              <w:jc w:val="both"/>
            </w:pPr>
            <w:r w:rsidRPr="00772480">
              <w:rPr>
                <w:b/>
                <w:bCs/>
              </w:rPr>
              <w:t>Velocidad de reloj del procesador:</w:t>
            </w:r>
            <w:r>
              <w:t xml:space="preserve"> Con turbo 5.10 GHz </w:t>
            </w:r>
            <w:proofErr w:type="spellStart"/>
            <w:r>
              <w:t>ó</w:t>
            </w:r>
            <w:proofErr w:type="spellEnd"/>
            <w:r>
              <w:t xml:space="preserve"> superior</w:t>
            </w:r>
          </w:p>
          <w:p w14:paraId="53DE6114" w14:textId="77777777" w:rsidR="00F751A6" w:rsidRPr="0039590C" w:rsidRDefault="00F751A6" w:rsidP="00F751A6">
            <w:pPr>
              <w:jc w:val="both"/>
              <w:rPr>
                <w:lang w:val="en-US"/>
              </w:rPr>
            </w:pPr>
            <w:r w:rsidRPr="00B553E0">
              <w:rPr>
                <w:b/>
                <w:bCs/>
                <w:lang w:val="en-US"/>
              </w:rPr>
              <w:t>Memoria RAM:</w:t>
            </w:r>
            <w:r>
              <w:rPr>
                <w:lang w:val="en-US"/>
              </w:rPr>
              <w:t xml:space="preserve"> </w:t>
            </w:r>
            <w:r w:rsidRPr="0039590C">
              <w:rPr>
                <w:lang w:val="en-US"/>
              </w:rPr>
              <w:t>32 GB DDR5</w:t>
            </w:r>
          </w:p>
          <w:p w14:paraId="153F1595" w14:textId="77777777" w:rsidR="00F751A6" w:rsidRPr="0039590C" w:rsidRDefault="00F751A6" w:rsidP="00F751A6">
            <w:pPr>
              <w:jc w:val="both"/>
              <w:rPr>
                <w:lang w:val="en-US"/>
              </w:rPr>
            </w:pPr>
            <w:proofErr w:type="spellStart"/>
            <w:r w:rsidRPr="00B553E0">
              <w:rPr>
                <w:b/>
                <w:bCs/>
                <w:lang w:val="en-US"/>
              </w:rPr>
              <w:t>Puertos</w:t>
            </w:r>
            <w:proofErr w:type="spellEnd"/>
            <w:r w:rsidRPr="00B553E0">
              <w:rPr>
                <w:b/>
                <w:bCs/>
                <w:lang w:val="en-US"/>
              </w:rPr>
              <w:t>:</w:t>
            </w:r>
            <w:r w:rsidRPr="0039590C">
              <w:rPr>
                <w:lang w:val="en-US"/>
              </w:rPr>
              <w:t xml:space="preserve"> 2 USB Type-C Thunderbolt </w:t>
            </w:r>
          </w:p>
          <w:p w14:paraId="302BBC63" w14:textId="77777777" w:rsidR="00F751A6" w:rsidRDefault="00F751A6" w:rsidP="00F751A6">
            <w:pPr>
              <w:jc w:val="both"/>
            </w:pPr>
            <w:r>
              <w:t xml:space="preserve">1 USB </w:t>
            </w:r>
          </w:p>
          <w:p w14:paraId="18E6F1D7" w14:textId="77777777" w:rsidR="00F751A6" w:rsidRDefault="00F751A6" w:rsidP="00F751A6">
            <w:pPr>
              <w:jc w:val="both"/>
            </w:pPr>
            <w:r>
              <w:t>Puerto HDMI</w:t>
            </w:r>
          </w:p>
          <w:p w14:paraId="6ED890B5" w14:textId="77777777" w:rsidR="00F751A6" w:rsidRDefault="00F751A6" w:rsidP="00F751A6">
            <w:pPr>
              <w:jc w:val="both"/>
            </w:pPr>
            <w:r>
              <w:t xml:space="preserve">Ethernet LAN (RJ 45), </w:t>
            </w:r>
          </w:p>
          <w:p w14:paraId="05345429" w14:textId="77777777" w:rsidR="00F751A6" w:rsidRDefault="00F751A6" w:rsidP="00F751A6">
            <w:pPr>
              <w:jc w:val="both"/>
            </w:pPr>
            <w:r>
              <w:t>Puerto para micrófono.</w:t>
            </w:r>
          </w:p>
          <w:p w14:paraId="438D6BA8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Tarjeta de red inalámbrica:</w:t>
            </w:r>
            <w:r>
              <w:t xml:space="preserve"> Integrado</w:t>
            </w:r>
          </w:p>
          <w:p w14:paraId="2367DFCE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Tarjeta Gráfica (Video):</w:t>
            </w:r>
            <w:r>
              <w:t xml:space="preserve"> 2 GB GDDR6</w:t>
            </w:r>
          </w:p>
          <w:p w14:paraId="4F372AD2" w14:textId="1FB3BF6B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Tamaño de la Pantalla:</w:t>
            </w:r>
            <w:r>
              <w:t xml:space="preserve"> Pantalla de 16” pulgadas </w:t>
            </w:r>
            <w:proofErr w:type="spellStart"/>
            <w:r>
              <w:t>ó</w:t>
            </w:r>
            <w:proofErr w:type="spellEnd"/>
            <w:r>
              <w:t xml:space="preserve"> Superior</w:t>
            </w:r>
            <w:r w:rsidR="00E64456">
              <w:t xml:space="preserve"> </w:t>
            </w:r>
            <w:r w:rsidR="00737945">
              <w:t>c</w:t>
            </w:r>
            <w:r>
              <w:t xml:space="preserve">on Cámara 5 MP </w:t>
            </w:r>
          </w:p>
          <w:p w14:paraId="12729089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Disco duro:</w:t>
            </w:r>
            <w:r>
              <w:t xml:space="preserve"> 1 TB SSD M.2 PCIe Gen4</w:t>
            </w:r>
          </w:p>
          <w:p w14:paraId="501F8DDE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Teclado:</w:t>
            </w:r>
            <w:r>
              <w:t xml:space="preserve"> Teclado Numérico en español integrado retroiluminado.</w:t>
            </w:r>
          </w:p>
          <w:p w14:paraId="65925D08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Mouse:</w:t>
            </w:r>
            <w:r>
              <w:t xml:space="preserve"> Inalámbrico de la misma marca del equipo</w:t>
            </w:r>
          </w:p>
          <w:p w14:paraId="3B07DE83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Batería:</w:t>
            </w:r>
            <w:r>
              <w:t xml:space="preserve"> Batería 4 Celdas Li-ion </w:t>
            </w:r>
          </w:p>
          <w:p w14:paraId="37F022EE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Bolso de Transporte:</w:t>
            </w:r>
            <w:r>
              <w:t xml:space="preserve"> Mochila Clásica de Nilón incluido, de la misma marca de la computadora</w:t>
            </w:r>
          </w:p>
          <w:p w14:paraId="1278C80D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Sistema Operativo:</w:t>
            </w:r>
            <w:r>
              <w:t xml:space="preserve"> Windows 11 Profesional de 64 bit, en </w:t>
            </w:r>
            <w:proofErr w:type="gramStart"/>
            <w:r>
              <w:t>Español</w:t>
            </w:r>
            <w:proofErr w:type="gramEnd"/>
            <w:r>
              <w:t xml:space="preserve"> original instalado y registrado.</w:t>
            </w:r>
          </w:p>
          <w:p w14:paraId="0FA05156" w14:textId="77777777" w:rsidR="006C4A21" w:rsidRDefault="00F751A6" w:rsidP="00F751A6">
            <w:pPr>
              <w:jc w:val="both"/>
            </w:pPr>
            <w:r w:rsidRPr="00B553E0">
              <w:rPr>
                <w:b/>
                <w:bCs/>
              </w:rPr>
              <w:t>Ofimática:</w:t>
            </w:r>
            <w:r>
              <w:t xml:space="preserve"> Office Estándar 2024, Licencia, en español instalado y Registrado. </w:t>
            </w:r>
          </w:p>
          <w:p w14:paraId="3E9F480E" w14:textId="21492F1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Registrar Licencias a la Cuenta:</w:t>
            </w:r>
            <w:r>
              <w:t xml:space="preserve"> </w:t>
            </w:r>
            <w:r w:rsidRPr="00B553E0">
              <w:rPr>
                <w:i/>
                <w:iCs/>
                <w:color w:val="0000CC"/>
                <w:u w:val="single"/>
              </w:rPr>
              <w:t>si@minsa.gob.ni</w:t>
            </w:r>
          </w:p>
          <w:p w14:paraId="7F9C16CD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Adaptador de Corriente:</w:t>
            </w:r>
            <w:r>
              <w:t xml:space="preserve">  Adaptador de Corriente </w:t>
            </w:r>
          </w:p>
          <w:p w14:paraId="2223AEE2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Tiempo de Entrega:</w:t>
            </w:r>
            <w:r>
              <w:t xml:space="preserve">  30 días Calendario contados a partir del día siguiente de la firma del contrato.</w:t>
            </w:r>
          </w:p>
          <w:p w14:paraId="4DF8EA0B" w14:textId="7BF9DD96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Lugar de entrega:</w:t>
            </w:r>
            <w:r>
              <w:t xml:space="preserve"> Almacén Complejo Nacional de Salud (CNS)</w:t>
            </w:r>
            <w:r w:rsidR="003E10F7">
              <w:t>.</w:t>
            </w:r>
          </w:p>
          <w:p w14:paraId="61378EF2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Carta de Autorización del Fabricante</w:t>
            </w:r>
            <w:r>
              <w:t>: Presentar carta de autorización del fabricante que autorice al proveedor local la venta del producto ofertado.</w:t>
            </w:r>
          </w:p>
          <w:p w14:paraId="2B73C9C9" w14:textId="77777777" w:rsidR="00F751A6" w:rsidRDefault="00F751A6" w:rsidP="00F751A6">
            <w:pPr>
              <w:jc w:val="both"/>
            </w:pPr>
            <w:r w:rsidRPr="00B553E0">
              <w:rPr>
                <w:b/>
                <w:bCs/>
              </w:rPr>
              <w:t>Garantía del fabricante:</w:t>
            </w:r>
            <w:r>
              <w:t xml:space="preserve">  </w:t>
            </w:r>
          </w:p>
          <w:p w14:paraId="1410DEC4" w14:textId="77777777" w:rsidR="00F751A6" w:rsidRDefault="00F751A6" w:rsidP="00F751A6">
            <w:pPr>
              <w:jc w:val="both"/>
            </w:pPr>
            <w:r>
              <w:t>3 años de garantía en partes y mano de obra, asistencia con soporte y reparación en sitio (Para efectos de garantías, estas deberán realizarse en las instalaciones del Complejo Nacional de Salud Managua.) con las condiciones siguientes:</w:t>
            </w:r>
          </w:p>
          <w:p w14:paraId="663EC843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Soporte para averías de equipos</w:t>
            </w:r>
          </w:p>
          <w:p w14:paraId="1195A1FC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lastRenderedPageBreak/>
              <w:t>Soporte técnico avanzado disponible 24/7/365</w:t>
            </w:r>
          </w:p>
          <w:p w14:paraId="34740CC0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Compatibilidad integral con el hardware y el software del fabricante de equipos originales (OEM)Único punto de contacto para gestión integral de incidencias simplificada</w:t>
            </w:r>
          </w:p>
          <w:p w14:paraId="6319F12C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Administradores de cuentas técnicas para una gestión jerarquizada</w:t>
            </w:r>
          </w:p>
          <w:p w14:paraId="75461380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Servicio in situ al siguiente día laborable y priorización de piezas</w:t>
            </w:r>
          </w:p>
          <w:p w14:paraId="1C6712A2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Informes estándar disponibles (nivel de servicio, repeticiones, dentro o fuera de la garantía, etc.)</w:t>
            </w:r>
          </w:p>
          <w:p w14:paraId="39429184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Conexión de servicio para Gestión activos, soporte de productos y seguimiento de incidencias (o solicitudes) de servicio</w:t>
            </w:r>
          </w:p>
          <w:p w14:paraId="49D5456D" w14:textId="77777777" w:rsidR="00F751A6" w:rsidRDefault="00F751A6" w:rsidP="00F751A6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Opción de etiquetado de activos para gestión de inventario e información de contacto</w:t>
            </w:r>
          </w:p>
          <w:p w14:paraId="15D54396" w14:textId="77777777" w:rsidR="00F751A6" w:rsidRDefault="00F751A6" w:rsidP="00F751A6">
            <w:pPr>
              <w:jc w:val="both"/>
            </w:pPr>
          </w:p>
          <w:p w14:paraId="2A480764" w14:textId="77777777" w:rsidR="00F818A4" w:rsidRPr="00917D4C" w:rsidRDefault="00F818A4" w:rsidP="00F818A4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5E9F" w14:textId="77777777" w:rsidR="00F818A4" w:rsidRPr="00917D4C" w:rsidRDefault="00F818A4" w:rsidP="0046736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  <w:lastRenderedPageBreak/>
              <w:t>UNIDADES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4AC4B1" w14:textId="26565D65" w:rsidR="00F818A4" w:rsidRPr="00917D4C" w:rsidRDefault="00F818A4" w:rsidP="0046736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</w:tbl>
    <w:p w14:paraId="4351EDFE" w14:textId="4002772C" w:rsidR="00E20E1D" w:rsidRPr="00931E78" w:rsidRDefault="00E20E1D" w:rsidP="00E20E1D">
      <w:pPr>
        <w:jc w:val="both"/>
        <w:rPr>
          <w:rFonts w:ascii="Aptos Narrow" w:eastAsia="Times New Roman" w:hAnsi="Aptos Narrow" w:cs="Times New Roman"/>
          <w:color w:val="000000"/>
          <w:sz w:val="23"/>
          <w:szCs w:val="23"/>
          <w:lang w:val="es-US" w:eastAsia="es-US"/>
        </w:rPr>
      </w:pPr>
      <w:r w:rsidRPr="00190318">
        <w:rPr>
          <w:rFonts w:ascii="Aptos Narrow" w:eastAsia="Times New Roman" w:hAnsi="Aptos Narrow" w:cs="Times New Roman"/>
          <w:b/>
          <w:bCs/>
          <w:color w:val="EE0000"/>
          <w:sz w:val="23"/>
          <w:szCs w:val="23"/>
          <w:lang w:eastAsia="es-US"/>
        </w:rPr>
        <w:t>OBSERVACION</w:t>
      </w:r>
      <w:r>
        <w:rPr>
          <w:rFonts w:ascii="Aptos Narrow" w:eastAsia="Times New Roman" w:hAnsi="Aptos Narrow" w:cs="Times New Roman"/>
          <w:b/>
          <w:bCs/>
          <w:color w:val="EE0000"/>
          <w:sz w:val="23"/>
          <w:szCs w:val="23"/>
          <w:lang w:eastAsia="es-US"/>
        </w:rPr>
        <w:t xml:space="preserve"> IMPORTANTE</w:t>
      </w:r>
      <w:r w:rsidRPr="00190318">
        <w:rPr>
          <w:rFonts w:ascii="Aptos Narrow" w:eastAsia="Times New Roman" w:hAnsi="Aptos Narrow" w:cs="Times New Roman"/>
          <w:b/>
          <w:bCs/>
          <w:color w:val="EE0000"/>
          <w:sz w:val="23"/>
          <w:szCs w:val="23"/>
          <w:lang w:eastAsia="es-US"/>
        </w:rPr>
        <w:t>:</w:t>
      </w:r>
      <w:r w:rsidRPr="00190318">
        <w:rPr>
          <w:rFonts w:ascii="Aptos Narrow" w:eastAsia="Times New Roman" w:hAnsi="Aptos Narrow" w:cs="Times New Roman"/>
          <w:color w:val="EE0000"/>
          <w:sz w:val="23"/>
          <w:szCs w:val="23"/>
          <w:lang w:eastAsia="es-US"/>
        </w:rPr>
        <w:t xml:space="preserve"> </w:t>
      </w:r>
      <w:r w:rsidRPr="00190318">
        <w:rPr>
          <w:rFonts w:ascii="Aptos Narrow" w:eastAsia="Times New Roman" w:hAnsi="Aptos Narrow" w:cs="Times New Roman"/>
          <w:color w:val="000000"/>
          <w:sz w:val="23"/>
          <w:szCs w:val="23"/>
          <w:lang w:eastAsia="es-US"/>
        </w:rPr>
        <w:t>Favor adjuntar la ficha técnica del equipo ofertado y detallar de forma clara, completa y precisa las especificaciones técnicas requeridas, conforme a lo establecido en el cuadro anterior. La información proporcionada deberá permitir verificar el cumplimiento de cada una de las características solicitadas.</w:t>
      </w:r>
    </w:p>
    <w:p w14:paraId="542BB579" w14:textId="3923EFC8" w:rsidR="0015589A" w:rsidRPr="00E20E1D" w:rsidRDefault="0015589A" w:rsidP="0015589A">
      <w:pPr>
        <w:tabs>
          <w:tab w:val="left" w:pos="1512"/>
        </w:tabs>
        <w:rPr>
          <w:rFonts w:ascii="Arial Narrow" w:hAnsi="Arial Narrow"/>
          <w:sz w:val="20"/>
          <w:szCs w:val="20"/>
          <w:lang w:val="es-US"/>
        </w:rPr>
      </w:pPr>
    </w:p>
    <w:p w14:paraId="7D93D0FF" w14:textId="77777777" w:rsidR="0015589A" w:rsidRDefault="0015589A" w:rsidP="0015589A">
      <w:pPr>
        <w:ind w:firstLine="708"/>
        <w:rPr>
          <w:rFonts w:ascii="Arial Narrow" w:hAnsi="Arial Narrow"/>
          <w:sz w:val="20"/>
          <w:szCs w:val="20"/>
        </w:rPr>
      </w:pPr>
    </w:p>
    <w:p w14:paraId="2AC5C677" w14:textId="77777777" w:rsidR="0015589A" w:rsidRDefault="0015589A" w:rsidP="0015589A">
      <w:pPr>
        <w:ind w:firstLine="708"/>
        <w:rPr>
          <w:rFonts w:ascii="Arial Narrow" w:hAnsi="Arial Narrow"/>
          <w:sz w:val="20"/>
          <w:szCs w:val="20"/>
        </w:rPr>
      </w:pPr>
    </w:p>
    <w:p w14:paraId="35BAFB18" w14:textId="77777777" w:rsidR="0015589A" w:rsidRDefault="0015589A" w:rsidP="0015589A">
      <w:pPr>
        <w:rPr>
          <w:rFonts w:ascii="Arial Narrow" w:hAnsi="Arial Narrow"/>
          <w:sz w:val="20"/>
          <w:szCs w:val="20"/>
        </w:rPr>
      </w:pPr>
    </w:p>
    <w:p w14:paraId="02E4F373" w14:textId="77777777" w:rsidR="0015589A" w:rsidRPr="00576DAA" w:rsidRDefault="0015589A" w:rsidP="0015589A">
      <w:pPr>
        <w:rPr>
          <w:rFonts w:ascii="Arial Narrow" w:hAnsi="Arial Narrow"/>
          <w:sz w:val="20"/>
          <w:szCs w:val="20"/>
        </w:rPr>
      </w:pPr>
    </w:p>
    <w:p w14:paraId="00EAA9AC" w14:textId="77777777" w:rsidR="0015589A" w:rsidRPr="00576DAA" w:rsidRDefault="0015589A" w:rsidP="0015589A">
      <w:pPr>
        <w:rPr>
          <w:rFonts w:ascii="Arial Narrow" w:hAnsi="Arial Narrow"/>
          <w:sz w:val="20"/>
          <w:szCs w:val="20"/>
        </w:rPr>
      </w:pPr>
    </w:p>
    <w:p w14:paraId="1B545F9B" w14:textId="77777777" w:rsidR="0015589A" w:rsidRDefault="0015589A" w:rsidP="005D1A6B">
      <w:pPr>
        <w:jc w:val="center"/>
        <w:rPr>
          <w:rFonts w:ascii="Arial Narrow" w:hAnsi="Arial Narrow"/>
          <w:b/>
          <w:u w:val="single"/>
        </w:rPr>
      </w:pPr>
    </w:p>
    <w:sectPr w:rsidR="0015589A" w:rsidSect="00E66059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1998" w14:textId="77777777" w:rsidR="00880768" w:rsidRDefault="00880768" w:rsidP="000F4B4F">
      <w:r>
        <w:separator/>
      </w:r>
    </w:p>
  </w:endnote>
  <w:endnote w:type="continuationSeparator" w:id="0">
    <w:p w14:paraId="6F077FEE" w14:textId="77777777" w:rsidR="00880768" w:rsidRDefault="00880768" w:rsidP="000F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133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A1B360" w14:textId="59F11B00" w:rsidR="00852A5E" w:rsidRDefault="00852A5E">
            <w:pPr>
              <w:pStyle w:val="Piedepgina"/>
              <w:jc w:val="right"/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9826A" w14:textId="77777777" w:rsidR="00852A5E" w:rsidRDefault="00852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260D" w14:textId="77777777" w:rsidR="00880768" w:rsidRDefault="00880768" w:rsidP="000F4B4F">
      <w:r>
        <w:separator/>
      </w:r>
    </w:p>
  </w:footnote>
  <w:footnote w:type="continuationSeparator" w:id="0">
    <w:p w14:paraId="4F65F384" w14:textId="77777777" w:rsidR="00880768" w:rsidRDefault="00880768" w:rsidP="000F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0DD" w14:textId="67CA9C05" w:rsidR="000F4B4F" w:rsidRDefault="000E6429" w:rsidP="000E6429">
    <w:pPr>
      <w:pStyle w:val="Encabezado"/>
      <w:jc w:val="center"/>
      <w:rPr>
        <w:b/>
        <w:bCs/>
        <w:sz w:val="20"/>
        <w:szCs w:val="20"/>
      </w:rPr>
    </w:pPr>
    <w:r w:rsidRPr="000E6429">
      <w:rPr>
        <w:rFonts w:ascii="Arial Narrow" w:hAnsi="Arial Narrow" w:cs="Arial"/>
        <w:b/>
        <w:bCs/>
        <w:noProof/>
        <w:sz w:val="24"/>
        <w:szCs w:val="24"/>
        <w:u w:val="single"/>
        <w:lang w:val="es-MX" w:eastAsia="es-MX"/>
      </w:rPr>
      <w:drawing>
        <wp:anchor distT="0" distB="0" distL="114300" distR="114300" simplePos="0" relativeHeight="251659776" behindDoc="0" locked="0" layoutInCell="1" allowOverlap="1" wp14:anchorId="62D054DD" wp14:editId="79DD0DD1">
          <wp:simplePos x="0" y="0"/>
          <wp:positionH relativeFrom="margin">
            <wp:posOffset>-537722</wp:posOffset>
          </wp:positionH>
          <wp:positionV relativeFrom="paragraph">
            <wp:posOffset>-243205</wp:posOffset>
          </wp:positionV>
          <wp:extent cx="791210" cy="691515"/>
          <wp:effectExtent l="0" t="0" r="8890" b="0"/>
          <wp:wrapSquare wrapText="bothSides"/>
          <wp:docPr id="2" name="Imagen 2" descr="red Nica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d NicaSalu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B4F" w:rsidRPr="000E6429">
      <w:rPr>
        <w:b/>
        <w:bCs/>
        <w:sz w:val="20"/>
        <w:szCs w:val="20"/>
      </w:rPr>
      <w:t>Número Perpetuo: 2134 / NURAE: J-22-01-2021-0002 / RUC: J08100000033156</w:t>
    </w:r>
  </w:p>
  <w:p w14:paraId="0775A974" w14:textId="01C8024C" w:rsidR="00F93E79" w:rsidRPr="00CB297B" w:rsidRDefault="00F93E79" w:rsidP="00F93E79">
    <w:pPr>
      <w:jc w:val="center"/>
      <w:rPr>
        <w:rFonts w:ascii="Arial Narrow" w:hAnsi="Arial Narrow"/>
        <w:b/>
        <w:bCs/>
        <w:i/>
        <w:iCs/>
        <w:sz w:val="20"/>
        <w:szCs w:val="20"/>
      </w:rPr>
    </w:pPr>
    <w:r w:rsidRPr="00CB297B">
      <w:rPr>
        <w:rFonts w:ascii="Arial Narrow" w:hAnsi="Arial Narrow"/>
        <w:b/>
        <w:bCs/>
        <w:i/>
        <w:iCs/>
        <w:sz w:val="20"/>
        <w:szCs w:val="20"/>
      </w:rPr>
      <w:t>Proyecto: "</w:t>
    </w:r>
    <w:r>
      <w:rPr>
        <w:rFonts w:ascii="Arial Narrow" w:hAnsi="Arial Narrow"/>
        <w:b/>
        <w:bCs/>
        <w:i/>
        <w:iCs/>
        <w:sz w:val="20"/>
        <w:szCs w:val="20"/>
      </w:rPr>
      <w:t xml:space="preserve">Nicaragua mantiene los logros y consolida las acciones encaminadas a la pre-eliminación de la Malaria” </w:t>
    </w:r>
    <w:proofErr w:type="gramStart"/>
    <w:r>
      <w:rPr>
        <w:rFonts w:ascii="Arial Narrow" w:hAnsi="Arial Narrow"/>
        <w:b/>
        <w:bCs/>
        <w:i/>
        <w:iCs/>
        <w:sz w:val="20"/>
        <w:szCs w:val="20"/>
      </w:rPr>
      <w:t>-  NIC</w:t>
    </w:r>
    <w:proofErr w:type="gramEnd"/>
    <w:r>
      <w:rPr>
        <w:rFonts w:ascii="Arial Narrow" w:hAnsi="Arial Narrow"/>
        <w:b/>
        <w:bCs/>
        <w:i/>
        <w:iCs/>
        <w:sz w:val="20"/>
        <w:szCs w:val="20"/>
      </w:rPr>
      <w:t>-M-REDNICA-4187</w:t>
    </w:r>
  </w:p>
  <w:p w14:paraId="14D5D477" w14:textId="47F26FC0" w:rsidR="000E6429" w:rsidRPr="000E6429" w:rsidRDefault="000E6429" w:rsidP="00F93E79">
    <w:pPr>
      <w:tabs>
        <w:tab w:val="left" w:pos="1197"/>
      </w:tabs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978"/>
    <w:multiLevelType w:val="hybridMultilevel"/>
    <w:tmpl w:val="48A087E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18E"/>
    <w:multiLevelType w:val="hybridMultilevel"/>
    <w:tmpl w:val="C7D60DC4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7B49"/>
    <w:multiLevelType w:val="hybridMultilevel"/>
    <w:tmpl w:val="E0A25606"/>
    <w:lvl w:ilvl="0" w:tplc="080A0019">
      <w:start w:val="1"/>
      <w:numFmt w:val="lowerLetter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2585" w:hanging="360"/>
      </w:pPr>
    </w:lvl>
    <w:lvl w:ilvl="2" w:tplc="080A001B" w:tentative="1">
      <w:start w:val="1"/>
      <w:numFmt w:val="lowerRoman"/>
      <w:lvlText w:val="%3."/>
      <w:lvlJc w:val="right"/>
      <w:pPr>
        <w:ind w:left="3305" w:hanging="180"/>
      </w:pPr>
    </w:lvl>
    <w:lvl w:ilvl="3" w:tplc="080A000F" w:tentative="1">
      <w:start w:val="1"/>
      <w:numFmt w:val="decimal"/>
      <w:lvlText w:val="%4."/>
      <w:lvlJc w:val="left"/>
      <w:pPr>
        <w:ind w:left="4025" w:hanging="360"/>
      </w:pPr>
    </w:lvl>
    <w:lvl w:ilvl="4" w:tplc="080A0019" w:tentative="1">
      <w:start w:val="1"/>
      <w:numFmt w:val="lowerLetter"/>
      <w:lvlText w:val="%5."/>
      <w:lvlJc w:val="left"/>
      <w:pPr>
        <w:ind w:left="4745" w:hanging="360"/>
      </w:pPr>
    </w:lvl>
    <w:lvl w:ilvl="5" w:tplc="080A001B" w:tentative="1">
      <w:start w:val="1"/>
      <w:numFmt w:val="lowerRoman"/>
      <w:lvlText w:val="%6."/>
      <w:lvlJc w:val="right"/>
      <w:pPr>
        <w:ind w:left="5465" w:hanging="180"/>
      </w:pPr>
    </w:lvl>
    <w:lvl w:ilvl="6" w:tplc="080A000F" w:tentative="1">
      <w:start w:val="1"/>
      <w:numFmt w:val="decimal"/>
      <w:lvlText w:val="%7."/>
      <w:lvlJc w:val="left"/>
      <w:pPr>
        <w:ind w:left="6185" w:hanging="360"/>
      </w:pPr>
    </w:lvl>
    <w:lvl w:ilvl="7" w:tplc="080A0019" w:tentative="1">
      <w:start w:val="1"/>
      <w:numFmt w:val="lowerLetter"/>
      <w:lvlText w:val="%8."/>
      <w:lvlJc w:val="left"/>
      <w:pPr>
        <w:ind w:left="6905" w:hanging="360"/>
      </w:pPr>
    </w:lvl>
    <w:lvl w:ilvl="8" w:tplc="080A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 w15:restartNumberingAfterBreak="0">
    <w:nsid w:val="120904D5"/>
    <w:multiLevelType w:val="hybridMultilevel"/>
    <w:tmpl w:val="341C9F2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83CF5"/>
    <w:multiLevelType w:val="hybridMultilevel"/>
    <w:tmpl w:val="EFC0396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5E43"/>
    <w:multiLevelType w:val="hybridMultilevel"/>
    <w:tmpl w:val="85D0E8C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7BE4"/>
    <w:multiLevelType w:val="hybridMultilevel"/>
    <w:tmpl w:val="9C4ECA2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67F6"/>
    <w:multiLevelType w:val="hybridMultilevel"/>
    <w:tmpl w:val="3AAC21B8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31B04"/>
    <w:multiLevelType w:val="hybridMultilevel"/>
    <w:tmpl w:val="468262B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075C"/>
    <w:multiLevelType w:val="hybridMultilevel"/>
    <w:tmpl w:val="024EA350"/>
    <w:lvl w:ilvl="0" w:tplc="E7A8D44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922FF6"/>
    <w:multiLevelType w:val="hybridMultilevel"/>
    <w:tmpl w:val="767A8534"/>
    <w:lvl w:ilvl="0" w:tplc="B00E7C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54F67"/>
    <w:multiLevelType w:val="hybridMultilevel"/>
    <w:tmpl w:val="7B12F444"/>
    <w:lvl w:ilvl="0" w:tplc="893AE41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F66D0"/>
    <w:multiLevelType w:val="hybridMultilevel"/>
    <w:tmpl w:val="0C243354"/>
    <w:lvl w:ilvl="0" w:tplc="182CAD26">
      <w:numFmt w:val="bullet"/>
      <w:lvlText w:val="•"/>
      <w:lvlJc w:val="left"/>
      <w:pPr>
        <w:ind w:left="1070" w:hanging="710"/>
      </w:pPr>
      <w:rPr>
        <w:rFonts w:ascii="Arial Narrow" w:eastAsiaTheme="minorHAnsi" w:hAnsi="Arial Narrow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7CB0"/>
    <w:multiLevelType w:val="multilevel"/>
    <w:tmpl w:val="7F426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71A50"/>
    <w:multiLevelType w:val="multilevel"/>
    <w:tmpl w:val="540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E97A92"/>
    <w:multiLevelType w:val="hybridMultilevel"/>
    <w:tmpl w:val="F6D63A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211F"/>
    <w:multiLevelType w:val="hybridMultilevel"/>
    <w:tmpl w:val="C8EA5C2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313D1"/>
    <w:multiLevelType w:val="hybridMultilevel"/>
    <w:tmpl w:val="4268E3E0"/>
    <w:lvl w:ilvl="0" w:tplc="4746BA94">
      <w:start w:val="1"/>
      <w:numFmt w:val="decimal"/>
      <w:lvlText w:val="41.%1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C4348"/>
    <w:multiLevelType w:val="hybridMultilevel"/>
    <w:tmpl w:val="E348DB1C"/>
    <w:lvl w:ilvl="0" w:tplc="70C81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E142B"/>
    <w:multiLevelType w:val="hybridMultilevel"/>
    <w:tmpl w:val="912CD21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324534">
    <w:abstractNumId w:val="6"/>
  </w:num>
  <w:num w:numId="2" w16cid:durableId="1194684779">
    <w:abstractNumId w:val="19"/>
  </w:num>
  <w:num w:numId="3" w16cid:durableId="2105876443">
    <w:abstractNumId w:val="4"/>
  </w:num>
  <w:num w:numId="4" w16cid:durableId="312761983">
    <w:abstractNumId w:val="14"/>
  </w:num>
  <w:num w:numId="5" w16cid:durableId="1364672085">
    <w:abstractNumId w:val="13"/>
  </w:num>
  <w:num w:numId="6" w16cid:durableId="1321738027">
    <w:abstractNumId w:val="16"/>
  </w:num>
  <w:num w:numId="7" w16cid:durableId="1277832816">
    <w:abstractNumId w:val="12"/>
  </w:num>
  <w:num w:numId="8" w16cid:durableId="965358224">
    <w:abstractNumId w:val="0"/>
  </w:num>
  <w:num w:numId="9" w16cid:durableId="1654336751">
    <w:abstractNumId w:val="5"/>
  </w:num>
  <w:num w:numId="10" w16cid:durableId="426729890">
    <w:abstractNumId w:val="7"/>
  </w:num>
  <w:num w:numId="11" w16cid:durableId="36711325">
    <w:abstractNumId w:val="1"/>
  </w:num>
  <w:num w:numId="12" w16cid:durableId="764964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132934">
    <w:abstractNumId w:val="17"/>
  </w:num>
  <w:num w:numId="14" w16cid:durableId="24870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7444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20715">
    <w:abstractNumId w:val="3"/>
  </w:num>
  <w:num w:numId="17" w16cid:durableId="1137991059">
    <w:abstractNumId w:val="15"/>
  </w:num>
  <w:num w:numId="18" w16cid:durableId="1141462848">
    <w:abstractNumId w:val="8"/>
  </w:num>
  <w:num w:numId="19" w16cid:durableId="525874792">
    <w:abstractNumId w:val="2"/>
  </w:num>
  <w:num w:numId="20" w16cid:durableId="1125008540">
    <w:abstractNumId w:val="11"/>
  </w:num>
  <w:num w:numId="21" w16cid:durableId="18792030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19"/>
    <w:rsid w:val="00017BFD"/>
    <w:rsid w:val="00020680"/>
    <w:rsid w:val="000268B5"/>
    <w:rsid w:val="000400F8"/>
    <w:rsid w:val="0004760E"/>
    <w:rsid w:val="0005451B"/>
    <w:rsid w:val="000626EB"/>
    <w:rsid w:val="00071519"/>
    <w:rsid w:val="00073272"/>
    <w:rsid w:val="00074CBD"/>
    <w:rsid w:val="00075C87"/>
    <w:rsid w:val="000760B6"/>
    <w:rsid w:val="000926CC"/>
    <w:rsid w:val="000A065B"/>
    <w:rsid w:val="000A11AC"/>
    <w:rsid w:val="000B51FA"/>
    <w:rsid w:val="000C0C96"/>
    <w:rsid w:val="000D3432"/>
    <w:rsid w:val="000D743F"/>
    <w:rsid w:val="000E6429"/>
    <w:rsid w:val="000F40C6"/>
    <w:rsid w:val="000F4B4F"/>
    <w:rsid w:val="000F6BE9"/>
    <w:rsid w:val="0010000E"/>
    <w:rsid w:val="001008FD"/>
    <w:rsid w:val="00102145"/>
    <w:rsid w:val="00106476"/>
    <w:rsid w:val="00114E89"/>
    <w:rsid w:val="001332B6"/>
    <w:rsid w:val="00141912"/>
    <w:rsid w:val="0014197A"/>
    <w:rsid w:val="0015511B"/>
    <w:rsid w:val="0015589A"/>
    <w:rsid w:val="00167887"/>
    <w:rsid w:val="0017193E"/>
    <w:rsid w:val="001737D2"/>
    <w:rsid w:val="001750D1"/>
    <w:rsid w:val="00182903"/>
    <w:rsid w:val="00190318"/>
    <w:rsid w:val="00195711"/>
    <w:rsid w:val="0019715B"/>
    <w:rsid w:val="001C092A"/>
    <w:rsid w:val="001C678D"/>
    <w:rsid w:val="001D06C7"/>
    <w:rsid w:val="001D5C20"/>
    <w:rsid w:val="001E24D4"/>
    <w:rsid w:val="001E36B5"/>
    <w:rsid w:val="001F2C18"/>
    <w:rsid w:val="001F34E9"/>
    <w:rsid w:val="00201B3A"/>
    <w:rsid w:val="002034CD"/>
    <w:rsid w:val="00203C39"/>
    <w:rsid w:val="002070E5"/>
    <w:rsid w:val="00210F07"/>
    <w:rsid w:val="002110DD"/>
    <w:rsid w:val="00217A9F"/>
    <w:rsid w:val="00223246"/>
    <w:rsid w:val="00242B53"/>
    <w:rsid w:val="0025614B"/>
    <w:rsid w:val="002602C3"/>
    <w:rsid w:val="00266121"/>
    <w:rsid w:val="00284521"/>
    <w:rsid w:val="002A0E46"/>
    <w:rsid w:val="002A1B16"/>
    <w:rsid w:val="002A2C1B"/>
    <w:rsid w:val="002A303F"/>
    <w:rsid w:val="002A3698"/>
    <w:rsid w:val="002A51C7"/>
    <w:rsid w:val="002A5E05"/>
    <w:rsid w:val="002A699D"/>
    <w:rsid w:val="002A7895"/>
    <w:rsid w:val="002B268E"/>
    <w:rsid w:val="002B2FA7"/>
    <w:rsid w:val="002C046A"/>
    <w:rsid w:val="002C20BF"/>
    <w:rsid w:val="002C2959"/>
    <w:rsid w:val="002C4D65"/>
    <w:rsid w:val="002C6A98"/>
    <w:rsid w:val="002C6E21"/>
    <w:rsid w:val="002E7E83"/>
    <w:rsid w:val="00300D90"/>
    <w:rsid w:val="00303732"/>
    <w:rsid w:val="00314DAC"/>
    <w:rsid w:val="00324216"/>
    <w:rsid w:val="00324CF1"/>
    <w:rsid w:val="0032669D"/>
    <w:rsid w:val="003267A3"/>
    <w:rsid w:val="00335268"/>
    <w:rsid w:val="003448D8"/>
    <w:rsid w:val="0036012D"/>
    <w:rsid w:val="00361ABD"/>
    <w:rsid w:val="00385178"/>
    <w:rsid w:val="00390883"/>
    <w:rsid w:val="00391E27"/>
    <w:rsid w:val="003A0BF4"/>
    <w:rsid w:val="003A1AC8"/>
    <w:rsid w:val="003A7E11"/>
    <w:rsid w:val="003B633A"/>
    <w:rsid w:val="003C4040"/>
    <w:rsid w:val="003C6D47"/>
    <w:rsid w:val="003D069A"/>
    <w:rsid w:val="003D32E2"/>
    <w:rsid w:val="003D3B95"/>
    <w:rsid w:val="003D573D"/>
    <w:rsid w:val="003D5B84"/>
    <w:rsid w:val="003D625E"/>
    <w:rsid w:val="003D6347"/>
    <w:rsid w:val="003E05FE"/>
    <w:rsid w:val="003E10F7"/>
    <w:rsid w:val="003E5C14"/>
    <w:rsid w:val="003F56BF"/>
    <w:rsid w:val="004019B6"/>
    <w:rsid w:val="00405E19"/>
    <w:rsid w:val="00415592"/>
    <w:rsid w:val="00415C64"/>
    <w:rsid w:val="00416A41"/>
    <w:rsid w:val="00424139"/>
    <w:rsid w:val="00430719"/>
    <w:rsid w:val="00432009"/>
    <w:rsid w:val="004333AE"/>
    <w:rsid w:val="00443865"/>
    <w:rsid w:val="00445CF2"/>
    <w:rsid w:val="00454E16"/>
    <w:rsid w:val="00460094"/>
    <w:rsid w:val="00465BB0"/>
    <w:rsid w:val="00475A3D"/>
    <w:rsid w:val="00482DB0"/>
    <w:rsid w:val="00494B69"/>
    <w:rsid w:val="00496440"/>
    <w:rsid w:val="004A0CE8"/>
    <w:rsid w:val="004A1762"/>
    <w:rsid w:val="004A1E19"/>
    <w:rsid w:val="004A2736"/>
    <w:rsid w:val="004A28B9"/>
    <w:rsid w:val="004A5A63"/>
    <w:rsid w:val="004B1CAD"/>
    <w:rsid w:val="004B47CE"/>
    <w:rsid w:val="004B7C78"/>
    <w:rsid w:val="004D0FCE"/>
    <w:rsid w:val="004D5757"/>
    <w:rsid w:val="004D682D"/>
    <w:rsid w:val="004E2D64"/>
    <w:rsid w:val="004E4D97"/>
    <w:rsid w:val="004E600D"/>
    <w:rsid w:val="005003C4"/>
    <w:rsid w:val="00513745"/>
    <w:rsid w:val="00515E73"/>
    <w:rsid w:val="0051601C"/>
    <w:rsid w:val="00516A4C"/>
    <w:rsid w:val="00520147"/>
    <w:rsid w:val="005211F4"/>
    <w:rsid w:val="00522F89"/>
    <w:rsid w:val="00524584"/>
    <w:rsid w:val="00544436"/>
    <w:rsid w:val="005563A3"/>
    <w:rsid w:val="00561698"/>
    <w:rsid w:val="00561910"/>
    <w:rsid w:val="00561DD6"/>
    <w:rsid w:val="00565869"/>
    <w:rsid w:val="00572D1F"/>
    <w:rsid w:val="00576DAA"/>
    <w:rsid w:val="005908E8"/>
    <w:rsid w:val="00592459"/>
    <w:rsid w:val="00594281"/>
    <w:rsid w:val="00594BCA"/>
    <w:rsid w:val="00596749"/>
    <w:rsid w:val="005A28F8"/>
    <w:rsid w:val="005B1CA9"/>
    <w:rsid w:val="005B49B5"/>
    <w:rsid w:val="005C184F"/>
    <w:rsid w:val="005C3C00"/>
    <w:rsid w:val="005C4DF3"/>
    <w:rsid w:val="005C57C8"/>
    <w:rsid w:val="005D1A6B"/>
    <w:rsid w:val="005D25C0"/>
    <w:rsid w:val="005E0436"/>
    <w:rsid w:val="005E0672"/>
    <w:rsid w:val="005E1F55"/>
    <w:rsid w:val="005F6ED7"/>
    <w:rsid w:val="006009A4"/>
    <w:rsid w:val="00602EE8"/>
    <w:rsid w:val="00616EB0"/>
    <w:rsid w:val="00630889"/>
    <w:rsid w:val="0063237C"/>
    <w:rsid w:val="00634282"/>
    <w:rsid w:val="006427EC"/>
    <w:rsid w:val="006478B3"/>
    <w:rsid w:val="00652AA7"/>
    <w:rsid w:val="00653C10"/>
    <w:rsid w:val="00662DC5"/>
    <w:rsid w:val="00666FCB"/>
    <w:rsid w:val="0067031E"/>
    <w:rsid w:val="006712FF"/>
    <w:rsid w:val="00681B27"/>
    <w:rsid w:val="006862CF"/>
    <w:rsid w:val="006A12A8"/>
    <w:rsid w:val="006B0341"/>
    <w:rsid w:val="006B0E6D"/>
    <w:rsid w:val="006B3113"/>
    <w:rsid w:val="006B3B82"/>
    <w:rsid w:val="006B5B04"/>
    <w:rsid w:val="006C0CB6"/>
    <w:rsid w:val="006C1041"/>
    <w:rsid w:val="006C2043"/>
    <w:rsid w:val="006C3046"/>
    <w:rsid w:val="006C4A21"/>
    <w:rsid w:val="006D5157"/>
    <w:rsid w:val="006E40B4"/>
    <w:rsid w:val="006E5077"/>
    <w:rsid w:val="006E7B41"/>
    <w:rsid w:val="006F6C75"/>
    <w:rsid w:val="00700A01"/>
    <w:rsid w:val="00702E88"/>
    <w:rsid w:val="00703B26"/>
    <w:rsid w:val="00705E54"/>
    <w:rsid w:val="0071715B"/>
    <w:rsid w:val="00737945"/>
    <w:rsid w:val="00743358"/>
    <w:rsid w:val="00747B41"/>
    <w:rsid w:val="0075394C"/>
    <w:rsid w:val="00766C62"/>
    <w:rsid w:val="00772846"/>
    <w:rsid w:val="00776747"/>
    <w:rsid w:val="00793D8D"/>
    <w:rsid w:val="007A3E9A"/>
    <w:rsid w:val="007A4D05"/>
    <w:rsid w:val="007A7463"/>
    <w:rsid w:val="007B00C7"/>
    <w:rsid w:val="007B0E68"/>
    <w:rsid w:val="007B1F07"/>
    <w:rsid w:val="007B287E"/>
    <w:rsid w:val="007B4A7D"/>
    <w:rsid w:val="007B6DCB"/>
    <w:rsid w:val="007C293D"/>
    <w:rsid w:val="007C32C9"/>
    <w:rsid w:val="007D286C"/>
    <w:rsid w:val="007D6798"/>
    <w:rsid w:val="007E0F60"/>
    <w:rsid w:val="007E3170"/>
    <w:rsid w:val="007E31B4"/>
    <w:rsid w:val="007F36C4"/>
    <w:rsid w:val="007F417F"/>
    <w:rsid w:val="007F51E6"/>
    <w:rsid w:val="007F66EC"/>
    <w:rsid w:val="008008C1"/>
    <w:rsid w:val="00803F9C"/>
    <w:rsid w:val="00806E8B"/>
    <w:rsid w:val="00811A86"/>
    <w:rsid w:val="008256D0"/>
    <w:rsid w:val="00826DCC"/>
    <w:rsid w:val="00827A1C"/>
    <w:rsid w:val="008313AC"/>
    <w:rsid w:val="00832CA1"/>
    <w:rsid w:val="00836BBD"/>
    <w:rsid w:val="0083752D"/>
    <w:rsid w:val="00841BA9"/>
    <w:rsid w:val="00842FAB"/>
    <w:rsid w:val="00847E57"/>
    <w:rsid w:val="008517A8"/>
    <w:rsid w:val="00852A5E"/>
    <w:rsid w:val="00853B6B"/>
    <w:rsid w:val="008644EF"/>
    <w:rsid w:val="00864DCD"/>
    <w:rsid w:val="00866515"/>
    <w:rsid w:val="0087686F"/>
    <w:rsid w:val="00880768"/>
    <w:rsid w:val="00881A37"/>
    <w:rsid w:val="00883346"/>
    <w:rsid w:val="0089018F"/>
    <w:rsid w:val="008A2A2B"/>
    <w:rsid w:val="008A4E28"/>
    <w:rsid w:val="008B1939"/>
    <w:rsid w:val="008B34F2"/>
    <w:rsid w:val="008B7714"/>
    <w:rsid w:val="008D2408"/>
    <w:rsid w:val="008E7475"/>
    <w:rsid w:val="008F041C"/>
    <w:rsid w:val="00902983"/>
    <w:rsid w:val="00904DB6"/>
    <w:rsid w:val="00905F1D"/>
    <w:rsid w:val="00911C80"/>
    <w:rsid w:val="00912B8F"/>
    <w:rsid w:val="0091574E"/>
    <w:rsid w:val="00917D4C"/>
    <w:rsid w:val="00922925"/>
    <w:rsid w:val="00933483"/>
    <w:rsid w:val="00937828"/>
    <w:rsid w:val="00940B00"/>
    <w:rsid w:val="00943FB8"/>
    <w:rsid w:val="00945F00"/>
    <w:rsid w:val="00951A8B"/>
    <w:rsid w:val="00953497"/>
    <w:rsid w:val="00956254"/>
    <w:rsid w:val="009634F3"/>
    <w:rsid w:val="00964E9C"/>
    <w:rsid w:val="00973A87"/>
    <w:rsid w:val="00973AEB"/>
    <w:rsid w:val="00980863"/>
    <w:rsid w:val="00980ECE"/>
    <w:rsid w:val="00981496"/>
    <w:rsid w:val="00984FD2"/>
    <w:rsid w:val="0099720D"/>
    <w:rsid w:val="00997F72"/>
    <w:rsid w:val="009A0AE6"/>
    <w:rsid w:val="009A201A"/>
    <w:rsid w:val="009B2342"/>
    <w:rsid w:val="009B6AC6"/>
    <w:rsid w:val="009C1092"/>
    <w:rsid w:val="009C6D8C"/>
    <w:rsid w:val="009D287E"/>
    <w:rsid w:val="009D338E"/>
    <w:rsid w:val="009E292D"/>
    <w:rsid w:val="009E5CF9"/>
    <w:rsid w:val="009F0B22"/>
    <w:rsid w:val="009F38C4"/>
    <w:rsid w:val="009F599D"/>
    <w:rsid w:val="00A005F9"/>
    <w:rsid w:val="00A04466"/>
    <w:rsid w:val="00A1259C"/>
    <w:rsid w:val="00A20239"/>
    <w:rsid w:val="00A3424D"/>
    <w:rsid w:val="00A41E5D"/>
    <w:rsid w:val="00A431F1"/>
    <w:rsid w:val="00A45FC2"/>
    <w:rsid w:val="00A62B29"/>
    <w:rsid w:val="00A63CF3"/>
    <w:rsid w:val="00A651C4"/>
    <w:rsid w:val="00A66F73"/>
    <w:rsid w:val="00A823B3"/>
    <w:rsid w:val="00A84CB4"/>
    <w:rsid w:val="00A85956"/>
    <w:rsid w:val="00A87E34"/>
    <w:rsid w:val="00A912FB"/>
    <w:rsid w:val="00A9653A"/>
    <w:rsid w:val="00AA22DD"/>
    <w:rsid w:val="00AA5323"/>
    <w:rsid w:val="00AA777A"/>
    <w:rsid w:val="00AD2DBA"/>
    <w:rsid w:val="00AD5526"/>
    <w:rsid w:val="00AE0BD1"/>
    <w:rsid w:val="00AE2B41"/>
    <w:rsid w:val="00AF53CF"/>
    <w:rsid w:val="00AF723F"/>
    <w:rsid w:val="00B027AC"/>
    <w:rsid w:val="00B0394D"/>
    <w:rsid w:val="00B04EDB"/>
    <w:rsid w:val="00B06796"/>
    <w:rsid w:val="00B1380B"/>
    <w:rsid w:val="00B158EF"/>
    <w:rsid w:val="00B178F4"/>
    <w:rsid w:val="00B232CB"/>
    <w:rsid w:val="00B51529"/>
    <w:rsid w:val="00B55224"/>
    <w:rsid w:val="00B555D5"/>
    <w:rsid w:val="00B62A1F"/>
    <w:rsid w:val="00B83950"/>
    <w:rsid w:val="00B90ED2"/>
    <w:rsid w:val="00B96B9F"/>
    <w:rsid w:val="00BA77E4"/>
    <w:rsid w:val="00BB5D74"/>
    <w:rsid w:val="00BB72E7"/>
    <w:rsid w:val="00BC3217"/>
    <w:rsid w:val="00BC3D45"/>
    <w:rsid w:val="00BD0F06"/>
    <w:rsid w:val="00BD28F3"/>
    <w:rsid w:val="00BD66B4"/>
    <w:rsid w:val="00BD6F80"/>
    <w:rsid w:val="00BE0437"/>
    <w:rsid w:val="00BE4BC6"/>
    <w:rsid w:val="00BE7309"/>
    <w:rsid w:val="00BF18E8"/>
    <w:rsid w:val="00BF1F70"/>
    <w:rsid w:val="00C00274"/>
    <w:rsid w:val="00C13F09"/>
    <w:rsid w:val="00C14E85"/>
    <w:rsid w:val="00C160A2"/>
    <w:rsid w:val="00C24158"/>
    <w:rsid w:val="00C32116"/>
    <w:rsid w:val="00C32577"/>
    <w:rsid w:val="00C34A29"/>
    <w:rsid w:val="00C3747D"/>
    <w:rsid w:val="00C40CE6"/>
    <w:rsid w:val="00C53218"/>
    <w:rsid w:val="00C603DE"/>
    <w:rsid w:val="00C6148A"/>
    <w:rsid w:val="00C62793"/>
    <w:rsid w:val="00C847DA"/>
    <w:rsid w:val="00C87A59"/>
    <w:rsid w:val="00CA1214"/>
    <w:rsid w:val="00CA7D6C"/>
    <w:rsid w:val="00CB24F4"/>
    <w:rsid w:val="00CB4CB6"/>
    <w:rsid w:val="00CD757B"/>
    <w:rsid w:val="00CE4BA4"/>
    <w:rsid w:val="00CF68B6"/>
    <w:rsid w:val="00D01742"/>
    <w:rsid w:val="00D044EF"/>
    <w:rsid w:val="00D173C3"/>
    <w:rsid w:val="00D179CC"/>
    <w:rsid w:val="00D26067"/>
    <w:rsid w:val="00D47DBC"/>
    <w:rsid w:val="00D6721E"/>
    <w:rsid w:val="00D70D46"/>
    <w:rsid w:val="00D81EC8"/>
    <w:rsid w:val="00D82922"/>
    <w:rsid w:val="00D83CDC"/>
    <w:rsid w:val="00D91644"/>
    <w:rsid w:val="00D92397"/>
    <w:rsid w:val="00D937F9"/>
    <w:rsid w:val="00D94EA5"/>
    <w:rsid w:val="00DA431A"/>
    <w:rsid w:val="00DA47ED"/>
    <w:rsid w:val="00DB09CE"/>
    <w:rsid w:val="00DC49B1"/>
    <w:rsid w:val="00DE1086"/>
    <w:rsid w:val="00DE4DAA"/>
    <w:rsid w:val="00DF0748"/>
    <w:rsid w:val="00DF1A4F"/>
    <w:rsid w:val="00DF3A76"/>
    <w:rsid w:val="00E16EFB"/>
    <w:rsid w:val="00E20E1D"/>
    <w:rsid w:val="00E2173D"/>
    <w:rsid w:val="00E2379C"/>
    <w:rsid w:val="00E26913"/>
    <w:rsid w:val="00E3347E"/>
    <w:rsid w:val="00E34B86"/>
    <w:rsid w:val="00E41E01"/>
    <w:rsid w:val="00E42304"/>
    <w:rsid w:val="00E42456"/>
    <w:rsid w:val="00E44A73"/>
    <w:rsid w:val="00E57A30"/>
    <w:rsid w:val="00E64456"/>
    <w:rsid w:val="00E66059"/>
    <w:rsid w:val="00E67F57"/>
    <w:rsid w:val="00E72B1B"/>
    <w:rsid w:val="00E751F1"/>
    <w:rsid w:val="00E8076A"/>
    <w:rsid w:val="00E87F13"/>
    <w:rsid w:val="00E92015"/>
    <w:rsid w:val="00E949EB"/>
    <w:rsid w:val="00E96A98"/>
    <w:rsid w:val="00EA21A0"/>
    <w:rsid w:val="00EA6DAD"/>
    <w:rsid w:val="00EB3AE4"/>
    <w:rsid w:val="00EC5ABF"/>
    <w:rsid w:val="00EC77F4"/>
    <w:rsid w:val="00ED182C"/>
    <w:rsid w:val="00EF46E1"/>
    <w:rsid w:val="00F003EF"/>
    <w:rsid w:val="00F004E0"/>
    <w:rsid w:val="00F1123F"/>
    <w:rsid w:val="00F13C5B"/>
    <w:rsid w:val="00F14636"/>
    <w:rsid w:val="00F14E4B"/>
    <w:rsid w:val="00F16ADA"/>
    <w:rsid w:val="00F23BBA"/>
    <w:rsid w:val="00F248E9"/>
    <w:rsid w:val="00F249BA"/>
    <w:rsid w:val="00F37FFD"/>
    <w:rsid w:val="00F466E6"/>
    <w:rsid w:val="00F56341"/>
    <w:rsid w:val="00F62447"/>
    <w:rsid w:val="00F64201"/>
    <w:rsid w:val="00F653A9"/>
    <w:rsid w:val="00F653F3"/>
    <w:rsid w:val="00F66165"/>
    <w:rsid w:val="00F751A6"/>
    <w:rsid w:val="00F80531"/>
    <w:rsid w:val="00F818A4"/>
    <w:rsid w:val="00F84DEA"/>
    <w:rsid w:val="00F9094E"/>
    <w:rsid w:val="00F90CF8"/>
    <w:rsid w:val="00F92644"/>
    <w:rsid w:val="00F93505"/>
    <w:rsid w:val="00F93E79"/>
    <w:rsid w:val="00F95397"/>
    <w:rsid w:val="00FC408B"/>
    <w:rsid w:val="00FC4AC1"/>
    <w:rsid w:val="00FC5C5E"/>
    <w:rsid w:val="00FD05FA"/>
    <w:rsid w:val="00FD5A97"/>
    <w:rsid w:val="00FD5F46"/>
    <w:rsid w:val="00FE285B"/>
    <w:rsid w:val="00FE5A42"/>
    <w:rsid w:val="00FE61C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2792D"/>
  <w15:docId w15:val="{C0269E22-267E-4C4B-828C-C0D64447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1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E0F60"/>
    <w:rPr>
      <w:color w:val="0000FF" w:themeColor="hyperlink"/>
      <w:u w:val="single"/>
    </w:rPr>
  </w:style>
  <w:style w:type="table" w:styleId="Tablaconcuadrcula">
    <w:name w:val="Table Grid"/>
    <w:basedOn w:val="Tablanormal"/>
    <w:rsid w:val="0042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6747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62B29"/>
    <w:pPr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FE5A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4B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B4F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F4B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B4F"/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BD6F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F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F80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F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F80"/>
    <w:rPr>
      <w:rFonts w:ascii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005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05F9"/>
    <w:pPr>
      <w:widowControl w:val="0"/>
      <w:autoSpaceDE w:val="0"/>
      <w:autoSpaceDN w:val="0"/>
      <w:spacing w:line="200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negas@nicasalud.org.n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anegas@nicasalud.org.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Mendieta</dc:creator>
  <cp:lastModifiedBy>Ana Vanegas</cp:lastModifiedBy>
  <cp:revision>2</cp:revision>
  <cp:lastPrinted>2026-06-09T23:37:00Z</cp:lastPrinted>
  <dcterms:created xsi:type="dcterms:W3CDTF">2026-06-09T23:45:00Z</dcterms:created>
  <dcterms:modified xsi:type="dcterms:W3CDTF">2026-06-09T23:45:00Z</dcterms:modified>
</cp:coreProperties>
</file>